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0B0" w:rsidRDefault="00E200B0" w:rsidP="00632059">
      <w:pPr>
        <w:bidi w:val="0"/>
        <w:jc w:val="center"/>
        <w:rPr>
          <w:rFonts w:cs="Simplified Arabic"/>
          <w:b/>
          <w:bCs/>
          <w:sz w:val="22"/>
          <w:szCs w:val="22"/>
          <w:rtl/>
          <w:lang w:eastAsia="en-US"/>
        </w:rPr>
      </w:pPr>
      <w:r>
        <w:rPr>
          <w:rFonts w:cs="Simplified Arabic" w:hint="cs"/>
          <w:b/>
          <w:bCs/>
          <w:sz w:val="22"/>
          <w:szCs w:val="22"/>
          <w:rtl/>
          <w:lang w:eastAsia="en-US"/>
        </w:rPr>
        <w:t xml:space="preserve"> </w:t>
      </w:r>
      <w:r>
        <w:rPr>
          <w:rFonts w:cs="Simplified Arabic"/>
          <w:b/>
          <w:bCs/>
          <w:sz w:val="22"/>
          <w:szCs w:val="22"/>
          <w:rtl/>
          <w:lang w:eastAsia="en-US"/>
        </w:rPr>
        <w:t>جدول</w:t>
      </w:r>
      <w:r>
        <w:rPr>
          <w:rFonts w:cs="Simplified Arabic" w:hint="cs"/>
          <w:b/>
          <w:bCs/>
          <w:sz w:val="22"/>
          <w:szCs w:val="22"/>
          <w:rtl/>
          <w:lang w:eastAsia="en-US"/>
        </w:rPr>
        <w:t xml:space="preserve"> 31.2</w:t>
      </w:r>
      <w:r w:rsidR="00632059">
        <w:rPr>
          <w:rFonts w:cs="Simplified Arabic" w:hint="cs"/>
          <w:b/>
          <w:bCs/>
          <w:sz w:val="22"/>
          <w:szCs w:val="22"/>
          <w:rtl/>
          <w:lang w:eastAsia="en-US"/>
        </w:rPr>
        <w:t xml:space="preserve"> : معامل جيني</w:t>
      </w:r>
      <w:r>
        <w:rPr>
          <w:rFonts w:cs="Simplified Arabic"/>
          <w:b/>
          <w:bCs/>
          <w:sz w:val="22"/>
          <w:szCs w:val="22"/>
          <w:rtl/>
          <w:lang w:eastAsia="en-US"/>
        </w:rPr>
        <w:t xml:space="preserve"> في الأراضي الفلسطينية</w:t>
      </w:r>
      <w:r>
        <w:rPr>
          <w:rFonts w:cs="Simplified Arabic" w:hint="cs"/>
          <w:b/>
          <w:bCs/>
          <w:sz w:val="22"/>
          <w:szCs w:val="22"/>
          <w:rtl/>
          <w:lang w:eastAsia="en-US"/>
        </w:rPr>
        <w:t xml:space="preserve"> حسب المنطقة، </w:t>
      </w:r>
      <w:r w:rsidR="00157934">
        <w:rPr>
          <w:rFonts w:cs="Simplified Arabic" w:hint="cs"/>
          <w:b/>
          <w:bCs/>
          <w:sz w:val="22"/>
          <w:szCs w:val="22"/>
          <w:rtl/>
          <w:lang w:eastAsia="en-US"/>
        </w:rPr>
        <w:t>2010</w:t>
      </w:r>
    </w:p>
    <w:p w:rsidR="00157934" w:rsidRDefault="00E200B0" w:rsidP="00632059">
      <w:pPr>
        <w:pStyle w:val="BodyText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Table 2.31</w:t>
      </w:r>
      <w:r w:rsidR="00632059">
        <w:rPr>
          <w:rFonts w:ascii="Arial" w:hAnsi="Arial" w:cs="Arial"/>
          <w:lang w:eastAsia="en-US"/>
        </w:rPr>
        <w:t>: Gini Coefficient in</w:t>
      </w:r>
      <w:r>
        <w:rPr>
          <w:rFonts w:ascii="Arial" w:hAnsi="Arial" w:cs="Arial"/>
          <w:lang w:eastAsia="en-US"/>
        </w:rPr>
        <w:t xml:space="preserve"> the Palestinian Territory</w:t>
      </w:r>
      <w:r w:rsidR="00632059">
        <w:rPr>
          <w:rFonts w:ascii="Arial" w:hAnsi="Arial" w:cs="Arial"/>
          <w:lang w:eastAsia="en-US"/>
        </w:rPr>
        <w:t xml:space="preserve"> by Region</w:t>
      </w:r>
      <w:r>
        <w:rPr>
          <w:rFonts w:ascii="Arial" w:hAnsi="Arial" w:cs="Arial"/>
          <w:lang w:eastAsia="en-US"/>
        </w:rPr>
        <w:t xml:space="preserve">, </w:t>
      </w:r>
      <w:r w:rsidR="00157934">
        <w:rPr>
          <w:rFonts w:ascii="Arial" w:hAnsi="Arial" w:cs="Arial"/>
          <w:lang w:eastAsia="en-US"/>
        </w:rPr>
        <w:t>2010</w:t>
      </w:r>
    </w:p>
    <w:p w:rsidR="00632059" w:rsidRPr="00632059" w:rsidRDefault="00632059" w:rsidP="00632059">
      <w:pPr>
        <w:pStyle w:val="BodyText"/>
        <w:rPr>
          <w:rFonts w:ascii="Arial" w:hAnsi="Arial" w:cs="Arial"/>
          <w:sz w:val="16"/>
          <w:szCs w:val="16"/>
          <w:rtl/>
          <w:lang w:eastAsia="en-US"/>
        </w:rPr>
      </w:pPr>
    </w:p>
    <w:tbl>
      <w:tblPr>
        <w:tblStyle w:val="TableGrid"/>
        <w:bidiVisual/>
        <w:tblW w:w="0" w:type="auto"/>
        <w:tblLook w:val="05A0"/>
      </w:tblPr>
      <w:tblGrid>
        <w:gridCol w:w="1662"/>
        <w:gridCol w:w="2883"/>
        <w:gridCol w:w="2638"/>
        <w:gridCol w:w="2638"/>
      </w:tblGrid>
      <w:tr w:rsidR="00632059" w:rsidRPr="00632059" w:rsidTr="00AC760A">
        <w:tc>
          <w:tcPr>
            <w:tcW w:w="1662" w:type="dxa"/>
            <w:tcBorders>
              <w:bottom w:val="single" w:sz="4" w:space="0" w:color="auto"/>
            </w:tcBorders>
          </w:tcPr>
          <w:p w:rsidR="00632059" w:rsidRPr="00632059" w:rsidRDefault="00632059" w:rsidP="00105395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632059">
              <w:rPr>
                <w:rFonts w:cs="Simplified Arabic" w:hint="cs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2883" w:type="dxa"/>
            <w:tcBorders>
              <w:bottom w:val="single" w:sz="4" w:space="0" w:color="auto"/>
            </w:tcBorders>
          </w:tcPr>
          <w:p w:rsidR="00632059" w:rsidRPr="00632059" w:rsidRDefault="00632059" w:rsidP="00105395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632059">
              <w:rPr>
                <w:rFonts w:cs="Simplified Arabic" w:hint="cs"/>
                <w:b/>
                <w:bCs/>
                <w:sz w:val="18"/>
                <w:szCs w:val="18"/>
                <w:rtl/>
              </w:rPr>
              <w:t>عدد أسر العينة</w:t>
            </w:r>
          </w:p>
        </w:tc>
        <w:tc>
          <w:tcPr>
            <w:tcW w:w="2638" w:type="dxa"/>
            <w:tcBorders>
              <w:bottom w:val="single" w:sz="4" w:space="0" w:color="auto"/>
            </w:tcBorders>
          </w:tcPr>
          <w:p w:rsidR="00632059" w:rsidRPr="00632059" w:rsidRDefault="00632059" w:rsidP="00105395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632059">
              <w:rPr>
                <w:rFonts w:cs="Simplified Arabic" w:hint="cs"/>
                <w:b/>
                <w:bCs/>
                <w:sz w:val="18"/>
                <w:szCs w:val="18"/>
                <w:rtl/>
              </w:rPr>
              <w:t>متوسط حجم الأسرة</w:t>
            </w:r>
          </w:p>
        </w:tc>
        <w:tc>
          <w:tcPr>
            <w:tcW w:w="2638" w:type="dxa"/>
            <w:tcBorders>
              <w:bottom w:val="single" w:sz="4" w:space="0" w:color="auto"/>
            </w:tcBorders>
          </w:tcPr>
          <w:p w:rsidR="00632059" w:rsidRPr="00632059" w:rsidRDefault="00632059" w:rsidP="00105395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632059">
              <w:rPr>
                <w:rFonts w:cs="Simplified Arabic" w:hint="cs"/>
                <w:b/>
                <w:bCs/>
                <w:sz w:val="18"/>
                <w:szCs w:val="18"/>
                <w:rtl/>
              </w:rPr>
              <w:t>معامل جيني</w:t>
            </w:r>
          </w:p>
        </w:tc>
      </w:tr>
      <w:tr w:rsidR="00632059" w:rsidRPr="00632059" w:rsidTr="00AC760A"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2059" w:rsidRPr="00632059" w:rsidRDefault="00632059" w:rsidP="00632059">
            <w:pPr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632059">
              <w:rPr>
                <w:rFonts w:cs="Simplified Arabic" w:hint="cs"/>
                <w:b/>
                <w:bCs/>
                <w:sz w:val="18"/>
                <w:szCs w:val="18"/>
                <w:rtl/>
              </w:rPr>
              <w:t>الأراضي الفلسطينية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2059" w:rsidRPr="00632059" w:rsidRDefault="00632059" w:rsidP="00632059">
            <w:pPr>
              <w:jc w:val="center"/>
              <w:rPr>
                <w:rFonts w:cs="Simplified Arabic"/>
                <w:b/>
                <w:bCs/>
                <w:sz w:val="18"/>
                <w:szCs w:val="18"/>
              </w:rPr>
            </w:pPr>
            <w:r w:rsidRPr="00632059">
              <w:rPr>
                <w:rFonts w:cs="Simplified Arabic"/>
                <w:b/>
                <w:bCs/>
                <w:sz w:val="18"/>
                <w:szCs w:val="18"/>
              </w:rPr>
              <w:t>3,757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2059" w:rsidRPr="00632059" w:rsidRDefault="00632059" w:rsidP="00632059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632059">
              <w:rPr>
                <w:rFonts w:cs="Simplified Arabic" w:hint="cs"/>
                <w:b/>
                <w:bCs/>
                <w:sz w:val="18"/>
                <w:szCs w:val="18"/>
                <w:rtl/>
              </w:rPr>
              <w:t>6.0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2059" w:rsidRPr="00632059" w:rsidRDefault="00632059" w:rsidP="00632059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632059">
              <w:rPr>
                <w:rFonts w:cs="Simplified Arabic" w:hint="cs"/>
                <w:b/>
                <w:bCs/>
                <w:sz w:val="18"/>
                <w:szCs w:val="18"/>
                <w:rtl/>
              </w:rPr>
              <w:t>0.41</w:t>
            </w:r>
          </w:p>
        </w:tc>
      </w:tr>
      <w:tr w:rsidR="00632059" w:rsidRPr="00632059" w:rsidTr="00AC760A"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2059" w:rsidRPr="00632059" w:rsidRDefault="00632059" w:rsidP="00632059">
            <w:pPr>
              <w:rPr>
                <w:rFonts w:cs="Simplified Arabic"/>
                <w:sz w:val="18"/>
                <w:szCs w:val="18"/>
                <w:rtl/>
              </w:rPr>
            </w:pPr>
            <w:r w:rsidRPr="00632059">
              <w:rPr>
                <w:rFonts w:cs="Simplified Arabic" w:hint="cs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2059" w:rsidRPr="00632059" w:rsidRDefault="00632059" w:rsidP="007027E8">
            <w:pPr>
              <w:jc w:val="center"/>
              <w:rPr>
                <w:rFonts w:cs="Simplified Arabic"/>
                <w:sz w:val="18"/>
                <w:szCs w:val="18"/>
              </w:rPr>
            </w:pPr>
            <w:r w:rsidRPr="00632059">
              <w:rPr>
                <w:rFonts w:cs="Simplified Arabic"/>
                <w:sz w:val="18"/>
                <w:szCs w:val="18"/>
              </w:rPr>
              <w:t>2,57</w:t>
            </w:r>
            <w:r w:rsidR="007027E8">
              <w:rPr>
                <w:rFonts w:cs="Simplified Arabic"/>
                <w:sz w:val="18"/>
                <w:szCs w:val="18"/>
              </w:rPr>
              <w:t>4</w:t>
            </w:r>
          </w:p>
        </w:tc>
        <w:tc>
          <w:tcPr>
            <w:tcW w:w="2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2059" w:rsidRPr="00632059" w:rsidRDefault="00632059" w:rsidP="00632059">
            <w:pPr>
              <w:jc w:val="center"/>
              <w:rPr>
                <w:rFonts w:cs="Simplified Arabic"/>
                <w:sz w:val="18"/>
                <w:szCs w:val="18"/>
                <w:rtl/>
              </w:rPr>
            </w:pPr>
            <w:r w:rsidRPr="00632059">
              <w:rPr>
                <w:rFonts w:cs="Simplified Arabic" w:hint="cs"/>
                <w:sz w:val="18"/>
                <w:szCs w:val="18"/>
                <w:rtl/>
              </w:rPr>
              <w:t>5.7</w:t>
            </w:r>
          </w:p>
        </w:tc>
        <w:tc>
          <w:tcPr>
            <w:tcW w:w="2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2059" w:rsidRPr="00632059" w:rsidRDefault="00632059" w:rsidP="00632059">
            <w:pPr>
              <w:jc w:val="center"/>
              <w:rPr>
                <w:rFonts w:cs="Simplified Arabic"/>
                <w:sz w:val="18"/>
                <w:szCs w:val="18"/>
                <w:rtl/>
              </w:rPr>
            </w:pPr>
            <w:r w:rsidRPr="00632059">
              <w:rPr>
                <w:rFonts w:cs="Simplified Arabic" w:hint="cs"/>
                <w:sz w:val="18"/>
                <w:szCs w:val="18"/>
                <w:rtl/>
              </w:rPr>
              <w:t>0.39</w:t>
            </w:r>
          </w:p>
        </w:tc>
      </w:tr>
      <w:tr w:rsidR="00632059" w:rsidRPr="00632059" w:rsidTr="00AC760A"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59" w:rsidRPr="00632059" w:rsidRDefault="00632059" w:rsidP="00632059">
            <w:pPr>
              <w:rPr>
                <w:rFonts w:cs="Simplified Arabic"/>
                <w:sz w:val="18"/>
                <w:szCs w:val="18"/>
                <w:rtl/>
              </w:rPr>
            </w:pPr>
            <w:r w:rsidRPr="00632059">
              <w:rPr>
                <w:rFonts w:cs="Simplified Arabic" w:hint="cs"/>
                <w:sz w:val="18"/>
                <w:szCs w:val="18"/>
                <w:rtl/>
              </w:rPr>
              <w:t>قطاع غزة</w:t>
            </w: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59" w:rsidRPr="00632059" w:rsidRDefault="00632059" w:rsidP="007027E8">
            <w:pPr>
              <w:jc w:val="center"/>
              <w:rPr>
                <w:rFonts w:cs="Simplified Arabic"/>
                <w:sz w:val="18"/>
                <w:szCs w:val="18"/>
              </w:rPr>
            </w:pPr>
            <w:r w:rsidRPr="00632059">
              <w:rPr>
                <w:rFonts w:cs="Simplified Arabic"/>
                <w:sz w:val="18"/>
                <w:szCs w:val="18"/>
              </w:rPr>
              <w:t>1,18</w:t>
            </w:r>
            <w:r w:rsidR="007027E8">
              <w:rPr>
                <w:rFonts w:cs="Simplified Arabic"/>
                <w:sz w:val="18"/>
                <w:szCs w:val="18"/>
              </w:rPr>
              <w:t>3</w:t>
            </w:r>
          </w:p>
        </w:tc>
        <w:tc>
          <w:tcPr>
            <w:tcW w:w="2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59" w:rsidRPr="00632059" w:rsidRDefault="00632059" w:rsidP="00632059">
            <w:pPr>
              <w:jc w:val="center"/>
              <w:rPr>
                <w:rFonts w:cs="Simplified Arabic"/>
                <w:sz w:val="18"/>
                <w:szCs w:val="18"/>
                <w:rtl/>
              </w:rPr>
            </w:pPr>
            <w:r w:rsidRPr="00632059">
              <w:rPr>
                <w:rFonts w:cs="Simplified Arabic" w:hint="cs"/>
                <w:sz w:val="18"/>
                <w:szCs w:val="18"/>
                <w:rtl/>
              </w:rPr>
              <w:t>6.6</w:t>
            </w:r>
          </w:p>
        </w:tc>
        <w:tc>
          <w:tcPr>
            <w:tcW w:w="2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59" w:rsidRPr="00632059" w:rsidRDefault="00632059" w:rsidP="00632059">
            <w:pPr>
              <w:jc w:val="center"/>
              <w:rPr>
                <w:rFonts w:cs="Simplified Arabic"/>
                <w:sz w:val="18"/>
                <w:szCs w:val="18"/>
                <w:rtl/>
              </w:rPr>
            </w:pPr>
            <w:r w:rsidRPr="00632059">
              <w:rPr>
                <w:rFonts w:cs="Simplified Arabic" w:hint="cs"/>
                <w:sz w:val="18"/>
                <w:szCs w:val="18"/>
                <w:rtl/>
              </w:rPr>
              <w:t>0.35</w:t>
            </w:r>
          </w:p>
        </w:tc>
      </w:tr>
    </w:tbl>
    <w:p w:rsidR="00971427" w:rsidRDefault="00971427" w:rsidP="00632059">
      <w:pPr>
        <w:rPr>
          <w:rFonts w:cs="Simplified Arabic"/>
          <w:b/>
          <w:bCs/>
          <w:sz w:val="22"/>
          <w:szCs w:val="22"/>
          <w:rtl/>
        </w:rPr>
      </w:pPr>
    </w:p>
    <w:p w:rsidR="00632059" w:rsidRDefault="00632059" w:rsidP="00632059">
      <w:pPr>
        <w:rPr>
          <w:rFonts w:cs="Simplified Arabic"/>
          <w:b/>
          <w:bCs/>
          <w:sz w:val="22"/>
          <w:szCs w:val="22"/>
          <w:rtl/>
        </w:rPr>
      </w:pPr>
    </w:p>
    <w:p w:rsidR="00C96F4B" w:rsidRDefault="00C96F4B" w:rsidP="00632059">
      <w:pPr>
        <w:rPr>
          <w:rFonts w:cs="Simplified Arabic"/>
          <w:b/>
          <w:bCs/>
          <w:sz w:val="22"/>
          <w:szCs w:val="22"/>
          <w:rtl/>
        </w:rPr>
      </w:pPr>
    </w:p>
    <w:p w:rsidR="00C96F4B" w:rsidRDefault="00C96F4B" w:rsidP="00632059">
      <w:pPr>
        <w:rPr>
          <w:rFonts w:cs="Simplified Arabic"/>
          <w:b/>
          <w:bCs/>
          <w:sz w:val="22"/>
          <w:szCs w:val="22"/>
          <w:rtl/>
        </w:rPr>
      </w:pPr>
    </w:p>
    <w:p w:rsidR="00C96F4B" w:rsidRDefault="00C96F4B" w:rsidP="00632059">
      <w:pPr>
        <w:rPr>
          <w:rFonts w:cs="Simplified Arabic"/>
          <w:b/>
          <w:bCs/>
          <w:sz w:val="22"/>
          <w:szCs w:val="22"/>
          <w:rtl/>
        </w:rPr>
      </w:pPr>
    </w:p>
    <w:p w:rsidR="00971427" w:rsidRPr="00971427" w:rsidRDefault="00971427" w:rsidP="00632059">
      <w:pPr>
        <w:jc w:val="center"/>
        <w:rPr>
          <w:rFonts w:cs="Simplified Arabic"/>
          <w:b/>
          <w:bCs/>
          <w:sz w:val="22"/>
          <w:szCs w:val="22"/>
          <w:rtl/>
        </w:rPr>
      </w:pPr>
      <w:r w:rsidRPr="00971427">
        <w:rPr>
          <w:rFonts w:cs="Simplified Arabic" w:hint="cs"/>
          <w:b/>
          <w:bCs/>
          <w:sz w:val="22"/>
          <w:szCs w:val="22"/>
          <w:rtl/>
        </w:rPr>
        <w:t>منحنى لورنس للأراضي الفلسطينية لعام 2010</w:t>
      </w:r>
    </w:p>
    <w:p w:rsidR="00E200B0" w:rsidRPr="00971427" w:rsidRDefault="00E200B0">
      <w:pPr>
        <w:pStyle w:val="Heading3"/>
        <w:rPr>
          <w:lang w:eastAsia="en-US"/>
        </w:rPr>
      </w:pPr>
      <w:r w:rsidRPr="00971427">
        <w:rPr>
          <w:lang w:eastAsia="en-US"/>
        </w:rPr>
        <w:t>Lorenz Curve</w:t>
      </w:r>
      <w:r w:rsidR="00971427" w:rsidRPr="00971427">
        <w:rPr>
          <w:lang w:eastAsia="en-US"/>
        </w:rPr>
        <w:t xml:space="preserve"> for Palestinian Territory, 2010</w:t>
      </w:r>
    </w:p>
    <w:p w:rsidR="00E200B0" w:rsidRDefault="00C96F4B">
      <w:pPr>
        <w:jc w:val="center"/>
      </w:pPr>
      <w:r w:rsidRPr="00C96F4B">
        <w:rPr>
          <w:noProof/>
          <w:rtl/>
          <w:lang w:eastAsia="en-US"/>
        </w:rPr>
        <w:drawing>
          <wp:inline distT="0" distB="0" distL="0" distR="0">
            <wp:extent cx="5019675" cy="3476625"/>
            <wp:effectExtent l="0" t="0" r="0" b="0"/>
            <wp:docPr id="2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sectPr w:rsidR="00E200B0" w:rsidSect="00560FAD">
      <w:headerReference w:type="default" r:id="rId7"/>
      <w:footerReference w:type="even" r:id="rId8"/>
      <w:footerReference w:type="default" r:id="rId9"/>
      <w:pgSz w:w="11907" w:h="16840" w:code="9"/>
      <w:pgMar w:top="1151" w:right="1151" w:bottom="1151" w:left="1151" w:header="720" w:footer="720" w:gutter="0"/>
      <w:pgNumType w:start="95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356" w:rsidRDefault="00124356">
      <w:r>
        <w:separator/>
      </w:r>
    </w:p>
  </w:endnote>
  <w:endnote w:type="continuationSeparator" w:id="0">
    <w:p w:rsidR="00124356" w:rsidRDefault="001243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0B0" w:rsidRDefault="005167A8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E200B0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E200B0" w:rsidRDefault="00E200B0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0B0" w:rsidRDefault="009B0F8C">
    <w:pPr>
      <w:pStyle w:val="Footer"/>
      <w:jc w:val="center"/>
      <w:rPr>
        <w:sz w:val="20"/>
        <w:szCs w:val="20"/>
        <w:rtl/>
      </w:rPr>
    </w:pPr>
    <w:r>
      <w:rPr>
        <w:sz w:val="20"/>
        <w:szCs w:val="20"/>
      </w:rPr>
      <w:t>111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356" w:rsidRDefault="00124356">
      <w:r>
        <w:separator/>
      </w:r>
    </w:p>
  </w:footnote>
  <w:footnote w:type="continuationSeparator" w:id="0">
    <w:p w:rsidR="00124356" w:rsidRDefault="001243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889" w:rsidRPr="00D75889" w:rsidRDefault="00D75889">
    <w:pPr>
      <w:pStyle w:val="Header"/>
      <w:rPr>
        <w:rFonts w:ascii="Arial" w:hAnsi="Arial" w:cs="Arial"/>
        <w:sz w:val="16"/>
        <w:szCs w:val="16"/>
      </w:rPr>
    </w:pPr>
    <w:r w:rsidRPr="00D75889">
      <w:rPr>
        <w:rFonts w:ascii="Arial" w:hAnsi="Arial" w:cs="Arial"/>
        <w:sz w:val="16"/>
        <w:szCs w:val="16"/>
      </w:rPr>
      <w:t>PCBS</w:t>
    </w:r>
    <w:r w:rsidRPr="00D75889">
      <w:rPr>
        <w:rFonts w:ascii="Arial" w:hAnsi="Arial" w:cs="Arial"/>
        <w:sz w:val="16"/>
        <w:szCs w:val="16"/>
        <w:rtl/>
      </w:rPr>
      <w:t>: مسح انفاق واستهلاك الأسرة، 2010</w:t>
    </w:r>
    <w:r w:rsidRPr="00D75889"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</w:t>
    </w:r>
    <w:r w:rsidRPr="00D75889">
      <w:rPr>
        <w:rFonts w:ascii="Arial" w:hAnsi="Arial" w:cs="Arial"/>
        <w:sz w:val="16"/>
        <w:szCs w:val="16"/>
      </w:rPr>
      <w:t>Expenditure and Consumption Survey, 2010</w:t>
    </w:r>
    <w:r w:rsidRPr="00D75889">
      <w:rPr>
        <w:rFonts w:ascii="Arial" w:hAnsi="Arial" w:cs="Arial" w:hint="cs"/>
        <w:sz w:val="16"/>
        <w:szCs w:val="16"/>
        <w:rtl/>
      </w:rPr>
      <w:t xml:space="preserve">: </w:t>
    </w:r>
    <w:r w:rsidRPr="00D75889">
      <w:rPr>
        <w:rFonts w:ascii="Arial" w:hAnsi="Arial" w:cs="Arial"/>
        <w:sz w:val="16"/>
        <w:szCs w:val="16"/>
      </w:rPr>
      <w:t>PCBS</w:t>
    </w:r>
    <w:r w:rsidRPr="00D75889">
      <w:rPr>
        <w:rFonts w:ascii="Arial" w:hAnsi="Arial" w:cs="Arial" w:hint="cs"/>
        <w:sz w:val="16"/>
        <w:szCs w:val="16"/>
        <w:rtl/>
      </w:rPr>
      <w:t xml:space="preserve">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7934"/>
    <w:rsid w:val="0001563D"/>
    <w:rsid w:val="000A12C0"/>
    <w:rsid w:val="000C5806"/>
    <w:rsid w:val="00124356"/>
    <w:rsid w:val="00131CEC"/>
    <w:rsid w:val="00157934"/>
    <w:rsid w:val="00166F04"/>
    <w:rsid w:val="00283F74"/>
    <w:rsid w:val="00496ECC"/>
    <w:rsid w:val="005167A8"/>
    <w:rsid w:val="00560FAD"/>
    <w:rsid w:val="005A58F9"/>
    <w:rsid w:val="00632059"/>
    <w:rsid w:val="007027E8"/>
    <w:rsid w:val="007D7093"/>
    <w:rsid w:val="008213C5"/>
    <w:rsid w:val="00893AE0"/>
    <w:rsid w:val="0093658F"/>
    <w:rsid w:val="00971427"/>
    <w:rsid w:val="00975661"/>
    <w:rsid w:val="009B0F8C"/>
    <w:rsid w:val="00A376D9"/>
    <w:rsid w:val="00AC760A"/>
    <w:rsid w:val="00BC4841"/>
    <w:rsid w:val="00C96F4B"/>
    <w:rsid w:val="00D75889"/>
    <w:rsid w:val="00D76D82"/>
    <w:rsid w:val="00E20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FAD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560FAD"/>
    <w:pPr>
      <w:keepNext/>
      <w:outlineLvl w:val="0"/>
    </w:pPr>
    <w:rPr>
      <w:rFonts w:cs="Simplified Arabic"/>
      <w:b/>
      <w:bCs/>
      <w:sz w:val="18"/>
      <w:szCs w:val="18"/>
    </w:rPr>
  </w:style>
  <w:style w:type="paragraph" w:styleId="Heading2">
    <w:name w:val="heading 2"/>
    <w:basedOn w:val="Normal"/>
    <w:next w:val="Normal"/>
    <w:qFormat/>
    <w:rsid w:val="00560FAD"/>
    <w:pPr>
      <w:keepNext/>
      <w:jc w:val="right"/>
      <w:outlineLvl w:val="1"/>
    </w:pPr>
    <w:rPr>
      <w:rFonts w:ascii="Arial" w:hAnsi="Arial" w:cs="Arial"/>
      <w:b/>
      <w:bCs/>
      <w:sz w:val="18"/>
      <w:szCs w:val="18"/>
    </w:rPr>
  </w:style>
  <w:style w:type="paragraph" w:styleId="Heading3">
    <w:name w:val="heading 3"/>
    <w:basedOn w:val="Normal"/>
    <w:next w:val="Normal"/>
    <w:qFormat/>
    <w:rsid w:val="00560FAD"/>
    <w:pPr>
      <w:keepNext/>
      <w:jc w:val="center"/>
      <w:outlineLvl w:val="2"/>
    </w:pPr>
    <w:rPr>
      <w:rFonts w:ascii="Arial" w:hAnsi="Arial" w:cs="Arial"/>
      <w:b/>
      <w:bCs/>
      <w:sz w:val="22"/>
      <w:szCs w:val="22"/>
    </w:rPr>
  </w:style>
  <w:style w:type="paragraph" w:styleId="Heading4">
    <w:name w:val="heading 4"/>
    <w:basedOn w:val="Normal"/>
    <w:next w:val="Normal"/>
    <w:qFormat/>
    <w:rsid w:val="00560FAD"/>
    <w:pPr>
      <w:keepNext/>
      <w:bidi w:val="0"/>
      <w:jc w:val="center"/>
      <w:outlineLvl w:val="3"/>
    </w:pPr>
    <w:rPr>
      <w:rFonts w:ascii="Arial" w:hAnsi="Arial" w:cs="Arial"/>
      <w:b/>
      <w:bCs/>
      <w:sz w:val="18"/>
      <w:szCs w:val="1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560FAD"/>
    <w:pPr>
      <w:jc w:val="center"/>
    </w:pPr>
    <w:rPr>
      <w:b/>
      <w:bCs/>
      <w:sz w:val="22"/>
      <w:szCs w:val="22"/>
    </w:rPr>
  </w:style>
  <w:style w:type="paragraph" w:styleId="Footer">
    <w:name w:val="footer"/>
    <w:basedOn w:val="Normal"/>
    <w:semiHidden/>
    <w:rsid w:val="00560FA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560FAD"/>
  </w:style>
  <w:style w:type="paragraph" w:styleId="Header">
    <w:name w:val="header"/>
    <w:basedOn w:val="Normal"/>
    <w:link w:val="HeaderChar"/>
    <w:semiHidden/>
    <w:rsid w:val="00560FA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971427"/>
    <w:rPr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14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1427"/>
    <w:rPr>
      <w:rFonts w:ascii="Tahoma" w:hAnsi="Tahoma" w:cs="Tahoma"/>
      <w:sz w:val="16"/>
      <w:szCs w:val="16"/>
      <w:lang w:eastAsia="ar-SA"/>
    </w:rPr>
  </w:style>
  <w:style w:type="table" w:styleId="TableGrid">
    <w:name w:val="Table Grid"/>
    <w:basedOn w:val="TableNormal"/>
    <w:uiPriority w:val="59"/>
    <w:rsid w:val="00632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Documents%20and%20Settings\tfida\Local%20Settings\Temporary%20Internet%20Files\Content.Outlook\ERGPEGG6\lornce_2010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7141049968374489"/>
          <c:y val="0.15068493150684972"/>
          <c:w val="0.75711574952561667"/>
          <c:h val="0.55890410958904113"/>
        </c:manualLayout>
      </c:layout>
      <c:lineChart>
        <c:grouping val="standard"/>
        <c:ser>
          <c:idx val="0"/>
          <c:order val="0"/>
          <c:tx>
            <c:strRef>
              <c:f>Sheet2!$B$3</c:f>
              <c:strCache>
                <c:ptCount val="1"/>
                <c:pt idx="0">
                  <c:v>الضفة الغربية</c:v>
                </c:pt>
              </c:strCache>
            </c:strRef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numRef>
              <c:f>Sheet2!$A$4:$A$24</c:f>
              <c:numCache>
                <c:formatCode>General</c:formatCode>
                <c:ptCount val="21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  <c:pt idx="6">
                  <c:v>30</c:v>
                </c:pt>
                <c:pt idx="7">
                  <c:v>35</c:v>
                </c:pt>
                <c:pt idx="8">
                  <c:v>40</c:v>
                </c:pt>
                <c:pt idx="9">
                  <c:v>45</c:v>
                </c:pt>
                <c:pt idx="10">
                  <c:v>50</c:v>
                </c:pt>
                <c:pt idx="11">
                  <c:v>55</c:v>
                </c:pt>
                <c:pt idx="12">
                  <c:v>60</c:v>
                </c:pt>
                <c:pt idx="13">
                  <c:v>65</c:v>
                </c:pt>
                <c:pt idx="14">
                  <c:v>70</c:v>
                </c:pt>
                <c:pt idx="15">
                  <c:v>75</c:v>
                </c:pt>
                <c:pt idx="16">
                  <c:v>80</c:v>
                </c:pt>
                <c:pt idx="17">
                  <c:v>85</c:v>
                </c:pt>
                <c:pt idx="18">
                  <c:v>90</c:v>
                </c:pt>
                <c:pt idx="19">
                  <c:v>95</c:v>
                </c:pt>
                <c:pt idx="20">
                  <c:v>100</c:v>
                </c:pt>
              </c:numCache>
            </c:numRef>
          </c:cat>
          <c:val>
            <c:numRef>
              <c:f>Sheet2!$B$4:$B$24</c:f>
              <c:numCache>
                <c:formatCode>0.0</c:formatCode>
                <c:ptCount val="21"/>
                <c:pt idx="0" formatCode="General">
                  <c:v>0</c:v>
                </c:pt>
                <c:pt idx="1">
                  <c:v>1.1594588353359829</c:v>
                </c:pt>
                <c:pt idx="2">
                  <c:v>2.7686883036847827</c:v>
                </c:pt>
                <c:pt idx="3">
                  <c:v>4.6572824880191561</c:v>
                </c:pt>
                <c:pt idx="4">
                  <c:v>6.8132403537668331</c:v>
                </c:pt>
                <c:pt idx="5">
                  <c:v>9.2238536061188636</c:v>
                </c:pt>
                <c:pt idx="6">
                  <c:v>11.797847146395798</c:v>
                </c:pt>
                <c:pt idx="7">
                  <c:v>14.574465846197873</c:v>
                </c:pt>
                <c:pt idx="8">
                  <c:v>17.594080514104615</c:v>
                </c:pt>
                <c:pt idx="9">
                  <c:v>20.858026997521787</c:v>
                </c:pt>
                <c:pt idx="10">
                  <c:v>24.407749335756847</c:v>
                </c:pt>
                <c:pt idx="11">
                  <c:v>28.253486203416312</c:v>
                </c:pt>
                <c:pt idx="12">
                  <c:v>32.408592987911049</c:v>
                </c:pt>
                <c:pt idx="13">
                  <c:v>36.998234299236003</c:v>
                </c:pt>
                <c:pt idx="14">
                  <c:v>42.044600103999905</c:v>
                </c:pt>
                <c:pt idx="15">
                  <c:v>47.605516309095613</c:v>
                </c:pt>
                <c:pt idx="16">
                  <c:v>53.887074927028344</c:v>
                </c:pt>
                <c:pt idx="17">
                  <c:v>60.966915427549843</c:v>
                </c:pt>
                <c:pt idx="18">
                  <c:v>69.379951632055509</c:v>
                </c:pt>
                <c:pt idx="19">
                  <c:v>79.873413609821512</c:v>
                </c:pt>
                <c:pt idx="20" formatCode="General">
                  <c:v>100</c:v>
                </c:pt>
              </c:numCache>
            </c:numRef>
          </c:val>
        </c:ser>
        <c:ser>
          <c:idx val="1"/>
          <c:order val="1"/>
          <c:tx>
            <c:strRef>
              <c:f>Sheet2!$C$3</c:f>
              <c:strCache>
                <c:ptCount val="1"/>
                <c:pt idx="0">
                  <c:v>قطاع غزة</c:v>
                </c:pt>
              </c:strCache>
            </c:strRef>
          </c:tx>
          <c:spPr>
            <a:ln w="12700">
              <a:solidFill>
                <a:srgbClr val="FF00FF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cat>
            <c:numRef>
              <c:f>Sheet2!$A$4:$A$24</c:f>
              <c:numCache>
                <c:formatCode>General</c:formatCode>
                <c:ptCount val="21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  <c:pt idx="6">
                  <c:v>30</c:v>
                </c:pt>
                <c:pt idx="7">
                  <c:v>35</c:v>
                </c:pt>
                <c:pt idx="8">
                  <c:v>40</c:v>
                </c:pt>
                <c:pt idx="9">
                  <c:v>45</c:v>
                </c:pt>
                <c:pt idx="10">
                  <c:v>50</c:v>
                </c:pt>
                <c:pt idx="11">
                  <c:v>55</c:v>
                </c:pt>
                <c:pt idx="12">
                  <c:v>60</c:v>
                </c:pt>
                <c:pt idx="13">
                  <c:v>65</c:v>
                </c:pt>
                <c:pt idx="14">
                  <c:v>70</c:v>
                </c:pt>
                <c:pt idx="15">
                  <c:v>75</c:v>
                </c:pt>
                <c:pt idx="16">
                  <c:v>80</c:v>
                </c:pt>
                <c:pt idx="17">
                  <c:v>85</c:v>
                </c:pt>
                <c:pt idx="18">
                  <c:v>90</c:v>
                </c:pt>
                <c:pt idx="19">
                  <c:v>95</c:v>
                </c:pt>
                <c:pt idx="20">
                  <c:v>100</c:v>
                </c:pt>
              </c:numCache>
            </c:numRef>
          </c:cat>
          <c:val>
            <c:numRef>
              <c:f>Sheet2!$C$4:$C$24</c:f>
              <c:numCache>
                <c:formatCode>0.0</c:formatCode>
                <c:ptCount val="21"/>
                <c:pt idx="0" formatCode="General">
                  <c:v>0</c:v>
                </c:pt>
                <c:pt idx="1">
                  <c:v>1.3571576727324299</c:v>
                </c:pt>
                <c:pt idx="2">
                  <c:v>3.1363791743412137</c:v>
                </c:pt>
                <c:pt idx="3">
                  <c:v>5.2290183789178366</c:v>
                </c:pt>
                <c:pt idx="4">
                  <c:v>7.6438651331128113</c:v>
                </c:pt>
                <c:pt idx="5">
                  <c:v>10.315258966925725</c:v>
                </c:pt>
                <c:pt idx="6">
                  <c:v>12.978824315876478</c:v>
                </c:pt>
                <c:pt idx="7">
                  <c:v>15.940325909672064</c:v>
                </c:pt>
                <c:pt idx="8">
                  <c:v>19.329971364023855</c:v>
                </c:pt>
                <c:pt idx="9">
                  <c:v>22.767654261657444</c:v>
                </c:pt>
                <c:pt idx="10">
                  <c:v>26.580568444342511</c:v>
                </c:pt>
                <c:pt idx="11">
                  <c:v>30.63789954783125</c:v>
                </c:pt>
                <c:pt idx="12">
                  <c:v>34.964103623747775</c:v>
                </c:pt>
                <c:pt idx="13">
                  <c:v>39.488191749894476</c:v>
                </c:pt>
                <c:pt idx="14">
                  <c:v>44.488890570811925</c:v>
                </c:pt>
                <c:pt idx="15">
                  <c:v>49.976020817842475</c:v>
                </c:pt>
                <c:pt idx="16">
                  <c:v>55.896939410351528</c:v>
                </c:pt>
                <c:pt idx="17">
                  <c:v>63.077580185035707</c:v>
                </c:pt>
                <c:pt idx="18">
                  <c:v>71.174659788463586</c:v>
                </c:pt>
                <c:pt idx="19">
                  <c:v>81.796543315441681</c:v>
                </c:pt>
                <c:pt idx="20" formatCode="General">
                  <c:v>100</c:v>
                </c:pt>
              </c:numCache>
            </c:numRef>
          </c:val>
        </c:ser>
        <c:ser>
          <c:idx val="2"/>
          <c:order val="2"/>
          <c:tx>
            <c:strRef>
              <c:f>Sheet2!$D$3</c:f>
              <c:strCache>
                <c:ptCount val="1"/>
                <c:pt idx="0">
                  <c:v>الأراضي الفلسطينية</c:v>
                </c:pt>
              </c:strCache>
            </c:strRef>
          </c:tx>
          <c:spPr>
            <a:ln w="12700">
              <a:solidFill>
                <a:srgbClr val="F79646">
                  <a:alpha val="88000"/>
                </a:srgbClr>
              </a:solidFill>
              <a:prstDash val="solid"/>
            </a:ln>
          </c:spPr>
          <c:cat>
            <c:numRef>
              <c:f>Sheet2!$A$4:$A$24</c:f>
              <c:numCache>
                <c:formatCode>General</c:formatCode>
                <c:ptCount val="21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  <c:pt idx="6">
                  <c:v>30</c:v>
                </c:pt>
                <c:pt idx="7">
                  <c:v>35</c:v>
                </c:pt>
                <c:pt idx="8">
                  <c:v>40</c:v>
                </c:pt>
                <c:pt idx="9">
                  <c:v>45</c:v>
                </c:pt>
                <c:pt idx="10">
                  <c:v>50</c:v>
                </c:pt>
                <c:pt idx="11">
                  <c:v>55</c:v>
                </c:pt>
                <c:pt idx="12">
                  <c:v>60</c:v>
                </c:pt>
                <c:pt idx="13">
                  <c:v>65</c:v>
                </c:pt>
                <c:pt idx="14">
                  <c:v>70</c:v>
                </c:pt>
                <c:pt idx="15">
                  <c:v>75</c:v>
                </c:pt>
                <c:pt idx="16">
                  <c:v>80</c:v>
                </c:pt>
                <c:pt idx="17">
                  <c:v>85</c:v>
                </c:pt>
                <c:pt idx="18">
                  <c:v>90</c:v>
                </c:pt>
                <c:pt idx="19">
                  <c:v>95</c:v>
                </c:pt>
                <c:pt idx="20">
                  <c:v>100</c:v>
                </c:pt>
              </c:numCache>
            </c:numRef>
          </c:cat>
          <c:val>
            <c:numRef>
              <c:f>Sheet2!$D$4:$D$24</c:f>
              <c:numCache>
                <c:formatCode>0.0</c:formatCode>
                <c:ptCount val="21"/>
                <c:pt idx="0" formatCode="General">
                  <c:v>0</c:v>
                </c:pt>
                <c:pt idx="1">
                  <c:v>1.1100697111059459</c:v>
                </c:pt>
                <c:pt idx="2">
                  <c:v>2.652845998189393</c:v>
                </c:pt>
                <c:pt idx="3">
                  <c:v>4.5001107081002276</c:v>
                </c:pt>
                <c:pt idx="4">
                  <c:v>6.4456825698264133</c:v>
                </c:pt>
                <c:pt idx="5">
                  <c:v>8.7340905495583971</c:v>
                </c:pt>
                <c:pt idx="6">
                  <c:v>11.201324686159383</c:v>
                </c:pt>
                <c:pt idx="7">
                  <c:v>13.923957537970896</c:v>
                </c:pt>
                <c:pt idx="8">
                  <c:v>16.815249877608689</c:v>
                </c:pt>
                <c:pt idx="9">
                  <c:v>19.806578119375214</c:v>
                </c:pt>
                <c:pt idx="10">
                  <c:v>23.185834441104593</c:v>
                </c:pt>
                <c:pt idx="11">
                  <c:v>26.758713475350696</c:v>
                </c:pt>
                <c:pt idx="12">
                  <c:v>30.75120321007849</c:v>
                </c:pt>
                <c:pt idx="13">
                  <c:v>35.021521310368783</c:v>
                </c:pt>
                <c:pt idx="14">
                  <c:v>39.879728747817147</c:v>
                </c:pt>
                <c:pt idx="15">
                  <c:v>45.233573459712744</c:v>
                </c:pt>
                <c:pt idx="16">
                  <c:v>51.207858239601869</c:v>
                </c:pt>
                <c:pt idx="17">
                  <c:v>58.152948519629206</c:v>
                </c:pt>
                <c:pt idx="18">
                  <c:v>66.862305924509371</c:v>
                </c:pt>
                <c:pt idx="19">
                  <c:v>77.983289987293261</c:v>
                </c:pt>
                <c:pt idx="20" formatCode="General">
                  <c:v>100</c:v>
                </c:pt>
              </c:numCache>
            </c:numRef>
          </c:val>
        </c:ser>
        <c:marker val="1"/>
        <c:axId val="86755584"/>
        <c:axId val="42750336"/>
      </c:lineChart>
      <c:catAx>
        <c:axId val="8675558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ar-SA" sz="850" b="0" i="0" u="none" strike="noStrike" baseline="0">
                    <a:solidFill>
                      <a:srgbClr val="000000"/>
                    </a:solidFill>
                    <a:cs typeface="Simplified Arabic"/>
                  </a:rPr>
                  <a:t>نسبة الاسر</a:t>
                </a:r>
              </a:p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en-US" sz="850" b="0" i="0" u="none" strike="noStrike" baseline="0">
                    <a:solidFill>
                      <a:srgbClr val="000000"/>
                    </a:solidFill>
                    <a:cs typeface="Simplified Arabic"/>
                  </a:rPr>
                  <a:t>Percentage of Household</a:t>
                </a:r>
              </a:p>
            </c:rich>
          </c:tx>
          <c:layout>
            <c:manualLayout>
              <c:xMode val="edge"/>
              <c:yMode val="edge"/>
              <c:x val="0.43833017077798986"/>
              <c:y val="0.78356164383561488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42750336"/>
        <c:crossesAt val="0"/>
        <c:auto val="1"/>
        <c:lblAlgn val="ctr"/>
        <c:lblOffset val="100"/>
        <c:tickLblSkip val="2"/>
        <c:tickMarkSkip val="2"/>
      </c:catAx>
      <c:valAx>
        <c:axId val="42750336"/>
        <c:scaling>
          <c:orientation val="minMax"/>
          <c:max val="100"/>
          <c:min val="0"/>
        </c:scaling>
        <c:axPos val="l"/>
        <c:majorGridlines>
          <c:spPr>
            <a:ln>
              <a:gradFill>
                <a:gsLst>
                  <a:gs pos="0">
                    <a:schemeClr val="accent1">
                      <a:tint val="66000"/>
                      <a:satMod val="160000"/>
                    </a:schemeClr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a:ln>
          </c:spPr>
        </c:majorGridlines>
        <c:title>
          <c:tx>
            <c:rich>
              <a:bodyPr/>
              <a:lstStyle/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ar-SA" sz="850" b="0" i="0" u="none" strike="noStrike" baseline="0">
                    <a:solidFill>
                      <a:srgbClr val="000000"/>
                    </a:solidFill>
                    <a:cs typeface="Simplified Arabic"/>
                  </a:rPr>
                  <a:t>نسبة الاستهلاك</a:t>
                </a:r>
              </a:p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en-US" sz="850" b="0" i="0" u="none" strike="noStrike" baseline="0">
                    <a:solidFill>
                      <a:srgbClr val="000000"/>
                    </a:solidFill>
                    <a:cs typeface="Simplified Arabic"/>
                  </a:rPr>
                  <a:t>Percentage of Consumption</a:t>
                </a:r>
              </a:p>
            </c:rich>
          </c:tx>
          <c:layout>
            <c:manualLayout>
              <c:xMode val="edge"/>
              <c:yMode val="edge"/>
              <c:x val="1.7077798861480087E-2"/>
              <c:y val="0.24657534246575341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6755584"/>
        <c:crosses val="autoZero"/>
        <c:crossBetween val="midCat"/>
        <c:majorUnit val="10"/>
      </c:valAx>
      <c:spPr>
        <a:ln w="12700">
          <a:solidFill>
            <a:srgbClr val="808080"/>
          </a:solidFill>
          <a:prstDash val="solid"/>
        </a:ln>
      </c:spPr>
    </c:plotArea>
    <c:legend>
      <c:legendPos val="t"/>
      <c:layout>
        <c:manualLayout>
          <c:xMode val="edge"/>
          <c:yMode val="edge"/>
          <c:x val="0.16129032258064541"/>
          <c:y val="2.1917808219178138E-2"/>
          <c:w val="0.75205566097406762"/>
          <c:h val="5.8447488584474856E-2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9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9525">
      <a:noFill/>
    </a:ln>
  </c:spPr>
  <c:txPr>
    <a:bodyPr/>
    <a:lstStyle/>
    <a:p>
      <a:pPr>
        <a:defRPr sz="97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0.18342</cdr:x>
      <cdr:y>0.14521</cdr:y>
    </cdr:from>
    <cdr:to>
      <cdr:x>0.93359</cdr:x>
      <cdr:y>0.69719</cdr:y>
    </cdr:to>
    <cdr:sp macro="" textlink="">
      <cdr:nvSpPr>
        <cdr:cNvPr id="2049" name="Line 1"/>
        <cdr:cNvSpPr>
          <a:spLocks xmlns:a="http://schemas.openxmlformats.org/drawingml/2006/main" noChangeShapeType="1"/>
        </cdr:cNvSpPr>
      </cdr:nvSpPr>
      <cdr:spPr bwMode="auto">
        <a:xfrm xmlns:a="http://schemas.openxmlformats.org/drawingml/2006/main" flipV="1">
          <a:off x="920698" y="504825"/>
          <a:ext cx="3765602" cy="1919044"/>
        </a:xfrm>
        <a:prstGeom xmlns:a="http://schemas.openxmlformats.org/drawingml/2006/main" prst="line">
          <a:avLst/>
        </a:prstGeom>
        <a:noFill xmlns:a="http://schemas.openxmlformats.org/drawingml/2006/main"/>
        <a:ln xmlns:a="http://schemas.openxmlformats.org/drawingml/2006/main" w="9525">
          <a:solidFill>
            <a:srgbClr val="000000"/>
          </a:solidFill>
          <a:round/>
          <a:headEnd/>
          <a:tailEnd type="triangle" w="med" len="med"/>
        </a:ln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ar-SA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pcbs</Company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tfida</dc:creator>
  <cp:keywords/>
  <dc:description/>
  <cp:lastModifiedBy>ajalboush</cp:lastModifiedBy>
  <cp:revision>11</cp:revision>
  <cp:lastPrinted>2010-10-21T08:43:00Z</cp:lastPrinted>
  <dcterms:created xsi:type="dcterms:W3CDTF">2011-08-04T08:09:00Z</dcterms:created>
  <dcterms:modified xsi:type="dcterms:W3CDTF">2011-09-26T06:39:00Z</dcterms:modified>
</cp:coreProperties>
</file>