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EE1BE1">
      <w:pPr>
        <w:bidi w:val="0"/>
        <w:ind w:right="720"/>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EE1BE1">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E1BE1" w:rsidRPr="00BD39D7" w:rsidRDefault="00EE1BE1" w:rsidP="00EE1BE1">
      <w:pPr>
        <w:bidi w:val="0"/>
        <w:ind w:right="-1"/>
        <w:jc w:val="lowKashida"/>
        <w:rPr>
          <w:sz w:val="24"/>
          <w:szCs w:val="24"/>
        </w:rPr>
      </w:pPr>
      <w:r w:rsidRPr="00AB2CF1">
        <w:rPr>
          <w:b/>
          <w:bCs/>
          <w:sz w:val="24"/>
          <w:szCs w:val="24"/>
        </w:rPr>
        <w:t xml:space="preserve">1.1  </w:t>
      </w:r>
      <w:r w:rsidRPr="00BD39D7">
        <w:rPr>
          <w:b/>
          <w:bCs/>
          <w:sz w:val="24"/>
          <w:szCs w:val="24"/>
        </w:rPr>
        <w:t xml:space="preserve">Number of Licenses: </w:t>
      </w:r>
      <w:r w:rsidRPr="00BD39D7">
        <w:rPr>
          <w:sz w:val="24"/>
          <w:szCs w:val="24"/>
        </w:rPr>
        <w:t xml:space="preserve">The following table compares the number of building licenses issued in </w:t>
      </w:r>
      <w:r>
        <w:rPr>
          <w:rFonts w:cs="Times New Roman"/>
          <w:sz w:val="24"/>
          <w:szCs w:val="24"/>
        </w:rPr>
        <w:t>the</w:t>
      </w:r>
      <w:r>
        <w:rPr>
          <w:rFonts w:cs="Times New Roman" w:hint="cs"/>
          <w:sz w:val="24"/>
          <w:szCs w:val="24"/>
          <w:rtl/>
        </w:rPr>
        <w:t xml:space="preserve"> </w:t>
      </w:r>
      <w:r>
        <w:rPr>
          <w:rFonts w:cs="Times New Roman"/>
          <w:sz w:val="24"/>
          <w:szCs w:val="24"/>
          <w:lang w:val="en-GB"/>
        </w:rPr>
        <w:t>f</w:t>
      </w:r>
      <w:proofErr w:type="spellStart"/>
      <w:r>
        <w:rPr>
          <w:rStyle w:val="hps"/>
          <w:rFonts w:cs="Times New Roman"/>
          <w:sz w:val="24"/>
          <w:szCs w:val="24"/>
        </w:rPr>
        <w:t>irst</w:t>
      </w:r>
      <w:proofErr w:type="spellEnd"/>
      <w:r>
        <w:rPr>
          <w:rFonts w:cs="Times New Roman"/>
          <w:sz w:val="24"/>
          <w:szCs w:val="24"/>
        </w:rPr>
        <w:t xml:space="preserve"> quarter</w:t>
      </w:r>
      <w:r w:rsidRPr="00BD39D7">
        <w:rPr>
          <w:rFonts w:cs="Times New Roman"/>
          <w:sz w:val="24"/>
          <w:szCs w:val="24"/>
        </w:rPr>
        <w:t xml:space="preserve"> of </w:t>
      </w:r>
      <w:r>
        <w:rPr>
          <w:rFonts w:cs="Times New Roman"/>
          <w:sz w:val="24"/>
          <w:szCs w:val="24"/>
        </w:rPr>
        <w:t>2014</w:t>
      </w:r>
      <w:r w:rsidRPr="00BD39D7">
        <w:rPr>
          <w:rFonts w:cs="Times New Roman"/>
          <w:sz w:val="24"/>
          <w:szCs w:val="24"/>
        </w:rPr>
        <w:t xml:space="preserve"> in </w:t>
      </w:r>
      <w:r>
        <w:rPr>
          <w:rFonts w:cs="Times New Roman"/>
          <w:sz w:val="24"/>
          <w:szCs w:val="24"/>
        </w:rPr>
        <w:t>Palestine</w:t>
      </w:r>
      <w:r w:rsidRPr="00BD39D7">
        <w:rPr>
          <w:rFonts w:cs="Times New Roman"/>
          <w:sz w:val="24"/>
          <w:szCs w:val="24"/>
        </w:rPr>
        <w:t xml:space="preserve">* </w:t>
      </w:r>
      <w:r w:rsidRPr="00BD39D7">
        <w:rPr>
          <w:sz w:val="24"/>
          <w:szCs w:val="24"/>
        </w:rPr>
        <w:t>with the previous and corresponding quarters:</w:t>
      </w:r>
    </w:p>
    <w:p w:rsidR="00EE1BE1" w:rsidRPr="00BD39D7" w:rsidRDefault="00EE1BE1" w:rsidP="00EE1BE1">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276"/>
        <w:gridCol w:w="1006"/>
        <w:gridCol w:w="837"/>
        <w:gridCol w:w="850"/>
        <w:gridCol w:w="3687"/>
      </w:tblGrid>
      <w:tr w:rsidR="00EE1BE1" w:rsidRPr="00BD39D7" w:rsidTr="00E971DE">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p>
          <w:p w:rsidR="00EE1BE1" w:rsidRPr="00BD39D7" w:rsidRDefault="00EE1BE1" w:rsidP="00E971DE">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276"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EE1BE1" w:rsidRPr="00BD39D7" w:rsidRDefault="00EE1BE1" w:rsidP="00E971DE">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No. of Licenses Issued **</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pStyle w:val="Heading1"/>
              <w:jc w:val="center"/>
              <w:rPr>
                <w:rFonts w:ascii="Arial" w:hAnsi="Arial" w:cs="Arial"/>
                <w:sz w:val="18"/>
                <w:szCs w:val="18"/>
                <w:rtl/>
              </w:rPr>
            </w:pPr>
            <w:r w:rsidRPr="00BD39D7">
              <w:rPr>
                <w:rFonts w:ascii="Arial" w:hAnsi="Arial" w:cs="Arial"/>
                <w:sz w:val="18"/>
                <w:szCs w:val="18"/>
              </w:rPr>
              <w:t>Indicator</w:t>
            </w:r>
          </w:p>
        </w:tc>
      </w:tr>
      <w:tr w:rsidR="00EE1BE1" w:rsidRPr="00BD39D7" w:rsidTr="00E971DE">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sz w:val="18"/>
                <w:szCs w:val="18"/>
              </w:rPr>
            </w:pPr>
          </w:p>
        </w:tc>
        <w:tc>
          <w:tcPr>
            <w:tcW w:w="1276" w:type="dxa"/>
            <w:vMerge/>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jc w:val="center"/>
              <w:rPr>
                <w:rFonts w:asciiTheme="minorBidi" w:hAnsiTheme="minorBidi" w:cstheme="minorBidi"/>
                <w:sz w:val="18"/>
                <w:szCs w:val="18"/>
              </w:rPr>
            </w:pPr>
          </w:p>
        </w:tc>
        <w:tc>
          <w:tcPr>
            <w:tcW w:w="1006" w:type="dxa"/>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jc w:val="center"/>
              <w:rPr>
                <w:rFonts w:asciiTheme="minorBidi" w:hAnsiTheme="minorBidi" w:cstheme="minorBidi"/>
                <w:sz w:val="18"/>
                <w:szCs w:val="18"/>
                <w:lang w:val="fr-FR"/>
              </w:rPr>
            </w:pPr>
            <w:r>
              <w:rPr>
                <w:rFonts w:asciiTheme="minorBidi" w:hAnsiTheme="minorBidi" w:cstheme="minorBidi"/>
                <w:sz w:val="18"/>
                <w:szCs w:val="18"/>
              </w:rPr>
              <w:t>first quarter</w:t>
            </w:r>
          </w:p>
          <w:p w:rsidR="00EE1BE1" w:rsidRPr="00BD39D7" w:rsidRDefault="00EE1BE1" w:rsidP="00E971DE">
            <w:pPr>
              <w:jc w:val="center"/>
              <w:rPr>
                <w:rFonts w:asciiTheme="minorBidi" w:hAnsiTheme="minorBidi" w:cstheme="minorBidi"/>
                <w:sz w:val="18"/>
                <w:szCs w:val="18"/>
              </w:rPr>
            </w:pPr>
            <w:r>
              <w:rPr>
                <w:rFonts w:asciiTheme="minorBidi" w:hAnsiTheme="minorBidi" w:cstheme="minorBidi"/>
                <w:sz w:val="18"/>
                <w:szCs w:val="18"/>
                <w:lang w:val="fr-FR"/>
              </w:rPr>
              <w:t>2014</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jc w:val="center"/>
              <w:rPr>
                <w:rFonts w:asciiTheme="minorBidi" w:hAnsiTheme="minorBidi" w:cstheme="minorBidi"/>
                <w:sz w:val="18"/>
                <w:szCs w:val="18"/>
              </w:rPr>
            </w:pPr>
            <w:r>
              <w:rPr>
                <w:rFonts w:asciiTheme="minorBidi" w:hAnsiTheme="minorBidi" w:cstheme="minorBidi"/>
                <w:sz w:val="18"/>
                <w:szCs w:val="18"/>
              </w:rPr>
              <w:t>fourth</w:t>
            </w:r>
            <w:r>
              <w:rPr>
                <w:rFonts w:cs="Times New Roman"/>
                <w:sz w:val="24"/>
                <w:szCs w:val="24"/>
              </w:rPr>
              <w:t xml:space="preserve"> </w:t>
            </w:r>
            <w:r>
              <w:rPr>
                <w:rFonts w:asciiTheme="minorBidi" w:hAnsiTheme="minorBidi" w:cstheme="minorBidi"/>
                <w:sz w:val="18"/>
                <w:szCs w:val="18"/>
              </w:rPr>
              <w:t>quarter</w:t>
            </w:r>
          </w:p>
          <w:p w:rsidR="00EE1BE1" w:rsidRPr="003C0AE5" w:rsidRDefault="00EE1BE1" w:rsidP="00E971DE">
            <w:pPr>
              <w:jc w:val="center"/>
              <w:rPr>
                <w:rFonts w:asciiTheme="minorBidi" w:hAnsiTheme="minorBidi" w:cstheme="minorBidi"/>
                <w:sz w:val="18"/>
                <w:szCs w:val="18"/>
                <w:rtl/>
              </w:rPr>
            </w:pPr>
            <w:r w:rsidRPr="00BD39D7">
              <w:rPr>
                <w:rFonts w:asciiTheme="minorBidi" w:hAnsiTheme="minorBidi" w:cstheme="minorBidi"/>
                <w:sz w:val="18"/>
                <w:szCs w:val="18"/>
                <w:rtl/>
              </w:rPr>
              <w:t>201</w:t>
            </w:r>
            <w:r>
              <w:rPr>
                <w:rFonts w:asciiTheme="minorBidi" w:hAnsiTheme="minorBidi" w:cstheme="minorBidi" w:hint="cs"/>
                <w:sz w:val="18"/>
                <w:szCs w:val="18"/>
                <w:rtl/>
              </w:rPr>
              <w:t>3</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jc w:val="center"/>
              <w:rPr>
                <w:rFonts w:asciiTheme="minorBidi" w:hAnsiTheme="minorBidi" w:cstheme="minorBidi"/>
                <w:sz w:val="18"/>
                <w:szCs w:val="18"/>
                <w:rtl/>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EE1BE1" w:rsidRPr="00BD39D7" w:rsidRDefault="00EE1BE1" w:rsidP="00E971DE">
            <w:pPr>
              <w:jc w:val="center"/>
              <w:rPr>
                <w:rFonts w:asciiTheme="minorBidi" w:hAnsiTheme="minorBidi" w:cstheme="minorBidi"/>
                <w:sz w:val="18"/>
                <w:szCs w:val="18"/>
                <w:rtl/>
                <w:lang w:val="fr-FR"/>
              </w:rPr>
            </w:pPr>
            <w:r>
              <w:rPr>
                <w:rFonts w:asciiTheme="minorBidi" w:hAnsiTheme="minorBidi" w:cstheme="minorBidi" w:hint="cs"/>
                <w:sz w:val="18"/>
                <w:szCs w:val="18"/>
                <w:rtl/>
              </w:rPr>
              <w:t>2013</w:t>
            </w:r>
          </w:p>
        </w:tc>
        <w:tc>
          <w:tcPr>
            <w:tcW w:w="3687"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cs="Simplified Arabic"/>
                <w:b/>
                <w:bCs/>
                <w:sz w:val="18"/>
                <w:szCs w:val="18"/>
              </w:rPr>
            </w:pPr>
          </w:p>
        </w:tc>
      </w:tr>
      <w:tr w:rsidR="00EE1BE1" w:rsidRPr="00BD39D7" w:rsidTr="00E971DE">
        <w:trPr>
          <w:cantSplit/>
          <w:trHeight w:val="340"/>
          <w:jc w:val="center"/>
        </w:trPr>
        <w:tc>
          <w:tcPr>
            <w:tcW w:w="1416" w:type="dxa"/>
            <w:tcBorders>
              <w:top w:val="single" w:sz="4" w:space="0" w:color="auto"/>
              <w:left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23.9</w:t>
            </w:r>
          </w:p>
        </w:tc>
        <w:tc>
          <w:tcPr>
            <w:tcW w:w="1276" w:type="dxa"/>
            <w:tcBorders>
              <w:top w:val="single" w:sz="4" w:space="0" w:color="auto"/>
            </w:tcBorders>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tl/>
              </w:rPr>
            </w:pPr>
            <w:r>
              <w:rPr>
                <w:rFonts w:ascii="Arial" w:eastAsia="Arial Unicode MS" w:hAnsi="Arial" w:cs="Arial" w:hint="cs"/>
                <w:b/>
                <w:bCs/>
                <w:sz w:val="18"/>
                <w:szCs w:val="18"/>
                <w:rtl/>
              </w:rPr>
              <w:t>41.5</w:t>
            </w:r>
          </w:p>
        </w:tc>
        <w:tc>
          <w:tcPr>
            <w:tcW w:w="1006" w:type="dxa"/>
            <w:tcBorders>
              <w:top w:val="single" w:sz="4" w:space="0" w:color="auto"/>
            </w:tcBorders>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sz w:val="18"/>
                <w:szCs w:val="18"/>
              </w:rPr>
              <w:t xml:space="preserve"> 1,690</w:t>
            </w:r>
          </w:p>
        </w:tc>
        <w:tc>
          <w:tcPr>
            <w:tcW w:w="837" w:type="dxa"/>
            <w:tcBorders>
              <w:top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tl/>
              </w:rPr>
            </w:pPr>
            <w:r>
              <w:rPr>
                <w:rFonts w:ascii="Arial" w:eastAsia="Arial Unicode MS" w:hAnsi="Arial" w:cs="Arial"/>
                <w:sz w:val="18"/>
                <w:szCs w:val="18"/>
              </w:rPr>
              <w:t>1,364</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sz w:val="18"/>
                <w:szCs w:val="18"/>
              </w:rPr>
              <w:t>1,194</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ind w:left="123" w:right="40"/>
              <w:rPr>
                <w:rFonts w:ascii="Arial" w:hAnsi="Arial" w:cs="Arial"/>
                <w:sz w:val="18"/>
                <w:szCs w:val="18"/>
              </w:rPr>
            </w:pPr>
            <w:r w:rsidRPr="00BD39D7">
              <w:rPr>
                <w:rFonts w:ascii="Arial" w:hAnsi="Arial" w:cs="Arial"/>
                <w:sz w:val="18"/>
                <w:szCs w:val="18"/>
              </w:rPr>
              <w:t>Licenses for new buildings</w:t>
            </w:r>
          </w:p>
        </w:tc>
      </w:tr>
      <w:tr w:rsidR="00EE1BE1" w:rsidRPr="00BD39D7" w:rsidTr="00E971DE">
        <w:trPr>
          <w:cantSplit/>
          <w:trHeight w:val="340"/>
          <w:jc w:val="center"/>
        </w:trPr>
        <w:tc>
          <w:tcPr>
            <w:tcW w:w="1416" w:type="dxa"/>
            <w:tcBorders>
              <w:left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5.9</w:t>
            </w:r>
          </w:p>
        </w:tc>
        <w:tc>
          <w:tcPr>
            <w:tcW w:w="1276" w:type="dxa"/>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tl/>
              </w:rPr>
            </w:pPr>
            <w:r>
              <w:rPr>
                <w:rFonts w:ascii="Arial" w:eastAsia="Arial Unicode MS" w:hAnsi="Arial" w:cs="Arial" w:hint="cs"/>
                <w:b/>
                <w:bCs/>
                <w:sz w:val="18"/>
                <w:szCs w:val="18"/>
                <w:rtl/>
              </w:rPr>
              <w:t>36.5-</w:t>
            </w:r>
          </w:p>
        </w:tc>
        <w:tc>
          <w:tcPr>
            <w:tcW w:w="1006" w:type="dxa"/>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tl/>
              </w:rPr>
            </w:pPr>
            <w:r>
              <w:rPr>
                <w:rFonts w:ascii="Arial" w:eastAsia="Arial Unicode MS" w:hAnsi="Arial" w:cs="Arial" w:hint="cs"/>
                <w:sz w:val="18"/>
                <w:szCs w:val="18"/>
                <w:rtl/>
              </w:rPr>
              <w:t>252</w:t>
            </w:r>
          </w:p>
        </w:tc>
        <w:tc>
          <w:tcPr>
            <w:tcW w:w="837" w:type="dxa"/>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850" w:type="dxa"/>
            <w:tcBorders>
              <w:right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397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EE1BE1" w:rsidRPr="00BD39D7" w:rsidTr="00E971DE">
        <w:trPr>
          <w:cantSplit/>
          <w:trHeight w:val="340"/>
          <w:jc w:val="center"/>
        </w:trPr>
        <w:tc>
          <w:tcPr>
            <w:tcW w:w="1416" w:type="dxa"/>
            <w:tcBorders>
              <w:left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0.0</w:t>
            </w:r>
          </w:p>
        </w:tc>
        <w:tc>
          <w:tcPr>
            <w:tcW w:w="1276" w:type="dxa"/>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tl/>
              </w:rPr>
            </w:pPr>
            <w:r>
              <w:rPr>
                <w:rFonts w:ascii="Arial" w:eastAsia="Arial Unicode MS" w:hAnsi="Arial" w:cs="Arial" w:hint="cs"/>
                <w:b/>
                <w:bCs/>
                <w:sz w:val="18"/>
                <w:szCs w:val="18"/>
                <w:rtl/>
              </w:rPr>
              <w:t>94.7-</w:t>
            </w:r>
          </w:p>
        </w:tc>
        <w:tc>
          <w:tcPr>
            <w:tcW w:w="1006" w:type="dxa"/>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837" w:type="dxa"/>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850" w:type="dxa"/>
            <w:tcBorders>
              <w:right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tl/>
              </w:rPr>
            </w:pPr>
            <w:r>
              <w:rPr>
                <w:rFonts w:ascii="Arial" w:eastAsia="Arial Unicode MS" w:hAnsi="Arial" w:cs="Arial" w:hint="cs"/>
                <w:sz w:val="18"/>
                <w:szCs w:val="18"/>
                <w:rtl/>
              </w:rPr>
              <w:t>57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EE1BE1" w:rsidRPr="00BD39D7" w:rsidTr="00E971DE">
        <w:trPr>
          <w:cantSplit/>
          <w:trHeight w:val="340"/>
          <w:jc w:val="center"/>
        </w:trPr>
        <w:tc>
          <w:tcPr>
            <w:tcW w:w="1416" w:type="dxa"/>
            <w:tcBorders>
              <w:left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3.9-</w:t>
            </w:r>
          </w:p>
        </w:tc>
        <w:tc>
          <w:tcPr>
            <w:tcW w:w="1276" w:type="dxa"/>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Pr>
            </w:pPr>
            <w:r>
              <w:rPr>
                <w:rFonts w:ascii="Arial" w:eastAsia="Arial Unicode MS" w:hAnsi="Arial" w:cs="Arial" w:hint="cs"/>
                <w:b/>
                <w:bCs/>
                <w:sz w:val="18"/>
                <w:szCs w:val="18"/>
                <w:rtl/>
              </w:rPr>
              <w:t>23.1-</w:t>
            </w:r>
          </w:p>
        </w:tc>
        <w:tc>
          <w:tcPr>
            <w:tcW w:w="1006" w:type="dxa"/>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467</w:t>
            </w:r>
          </w:p>
        </w:tc>
        <w:tc>
          <w:tcPr>
            <w:tcW w:w="837" w:type="dxa"/>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486</w:t>
            </w:r>
          </w:p>
        </w:tc>
        <w:tc>
          <w:tcPr>
            <w:tcW w:w="850" w:type="dxa"/>
            <w:tcBorders>
              <w:right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607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ind w:left="123" w:right="40"/>
              <w:rPr>
                <w:rFonts w:ascii="Arial" w:hAnsi="Arial" w:cs="Arial"/>
                <w:sz w:val="18"/>
                <w:szCs w:val="18"/>
              </w:rPr>
            </w:pPr>
            <w:r w:rsidRPr="00BD39D7">
              <w:rPr>
                <w:rFonts w:ascii="Arial" w:hAnsi="Arial" w:cs="Arial"/>
                <w:sz w:val="18"/>
                <w:szCs w:val="18"/>
              </w:rPr>
              <w:t>Licenses for existing buildings</w:t>
            </w:r>
          </w:p>
        </w:tc>
      </w:tr>
      <w:tr w:rsidR="00EE1BE1" w:rsidRPr="00BD39D7" w:rsidTr="00E971DE">
        <w:trPr>
          <w:cantSplit/>
          <w:trHeight w:val="340"/>
          <w:jc w:val="center"/>
        </w:trPr>
        <w:tc>
          <w:tcPr>
            <w:tcW w:w="1416" w:type="dxa"/>
            <w:tcBorders>
              <w:left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28.3-</w:t>
            </w:r>
          </w:p>
        </w:tc>
        <w:tc>
          <w:tcPr>
            <w:tcW w:w="1276" w:type="dxa"/>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Pr>
            </w:pPr>
            <w:r>
              <w:rPr>
                <w:rFonts w:ascii="Arial" w:eastAsia="Arial Unicode MS" w:hAnsi="Arial" w:cs="Arial" w:hint="cs"/>
                <w:b/>
                <w:bCs/>
                <w:sz w:val="18"/>
                <w:szCs w:val="18"/>
                <w:rtl/>
              </w:rPr>
              <w:t>26.9</w:t>
            </w:r>
          </w:p>
        </w:tc>
        <w:tc>
          <w:tcPr>
            <w:tcW w:w="1006" w:type="dxa"/>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33</w:t>
            </w:r>
          </w:p>
        </w:tc>
        <w:tc>
          <w:tcPr>
            <w:tcW w:w="837" w:type="dxa"/>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850" w:type="dxa"/>
            <w:tcBorders>
              <w:right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sz w:val="18"/>
                <w:szCs w:val="18"/>
              </w:rPr>
            </w:pPr>
            <w:r>
              <w:rPr>
                <w:rFonts w:ascii="Arial" w:eastAsia="Arial Unicode MS" w:hAnsi="Arial" w:cs="Arial" w:hint="cs"/>
                <w:sz w:val="18"/>
                <w:szCs w:val="18"/>
                <w:rtl/>
              </w:rPr>
              <w:t>26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ind w:left="123" w:right="40"/>
              <w:rPr>
                <w:rFonts w:ascii="Arial" w:hAnsi="Arial" w:cs="Arial"/>
                <w:sz w:val="18"/>
                <w:szCs w:val="18"/>
              </w:rPr>
            </w:pPr>
            <w:r w:rsidRPr="00BD39D7">
              <w:rPr>
                <w:rFonts w:ascii="Arial" w:hAnsi="Arial" w:cs="Arial"/>
                <w:sz w:val="18"/>
                <w:szCs w:val="18"/>
              </w:rPr>
              <w:t>Licenses for existing extensions</w:t>
            </w:r>
          </w:p>
        </w:tc>
      </w:tr>
      <w:tr w:rsidR="00EE1BE1" w:rsidRPr="00BD39D7" w:rsidTr="00E971DE">
        <w:trPr>
          <w:cantSplit/>
          <w:trHeight w:val="340"/>
          <w:jc w:val="center"/>
        </w:trPr>
        <w:tc>
          <w:tcPr>
            <w:tcW w:w="1416" w:type="dxa"/>
            <w:tcBorders>
              <w:left w:val="single" w:sz="4" w:space="0" w:color="auto"/>
              <w:bottom w:val="single" w:sz="4" w:space="0" w:color="auto"/>
            </w:tcBorders>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14.4</w:t>
            </w:r>
          </w:p>
        </w:tc>
        <w:tc>
          <w:tcPr>
            <w:tcW w:w="1276" w:type="dxa"/>
            <w:tcBorders>
              <w:bottom w:val="single" w:sz="4" w:space="0" w:color="auto"/>
            </w:tcBorders>
            <w:tcMar>
              <w:top w:w="20" w:type="dxa"/>
              <w:left w:w="20" w:type="dxa"/>
              <w:bottom w:w="0" w:type="dxa"/>
              <w:right w:w="20" w:type="dxa"/>
            </w:tcMar>
            <w:vAlign w:val="center"/>
          </w:tcPr>
          <w:p w:rsidR="00EE1BE1" w:rsidRPr="00A552E8" w:rsidRDefault="00EE1BE1" w:rsidP="00E971DE">
            <w:pPr>
              <w:ind w:left="144" w:right="57" w:firstLine="122"/>
              <w:jc w:val="both"/>
              <w:rPr>
                <w:rFonts w:ascii="Arial" w:eastAsia="Arial Unicode MS" w:hAnsi="Arial" w:cs="Arial"/>
                <w:b/>
                <w:bCs/>
                <w:sz w:val="18"/>
                <w:szCs w:val="18"/>
              </w:rPr>
            </w:pPr>
            <w:r>
              <w:rPr>
                <w:rFonts w:ascii="Arial" w:eastAsia="Arial Unicode MS" w:hAnsi="Arial" w:cs="Arial" w:hint="cs"/>
                <w:b/>
                <w:bCs/>
                <w:sz w:val="18"/>
                <w:szCs w:val="18"/>
                <w:rtl/>
              </w:rPr>
              <w:t xml:space="preserve">7.2  </w:t>
            </w:r>
          </w:p>
        </w:tc>
        <w:tc>
          <w:tcPr>
            <w:tcW w:w="1006" w:type="dxa"/>
            <w:tcBorders>
              <w:bottom w:val="single" w:sz="4" w:space="0" w:color="auto"/>
            </w:tcBorders>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b/>
                <w:bCs/>
                <w:sz w:val="18"/>
                <w:szCs w:val="18"/>
              </w:rPr>
              <w:t>2,445</w:t>
            </w:r>
          </w:p>
        </w:tc>
        <w:tc>
          <w:tcPr>
            <w:tcW w:w="837" w:type="dxa"/>
            <w:tcBorders>
              <w:bottom w:val="single" w:sz="4" w:space="0" w:color="auto"/>
            </w:tcBorders>
            <w:noWrap/>
            <w:tcMar>
              <w:top w:w="20" w:type="dxa"/>
              <w:left w:w="20" w:type="dxa"/>
              <w:bottom w:w="0" w:type="dxa"/>
              <w:right w:w="20" w:type="dxa"/>
            </w:tcMar>
            <w:vAlign w:val="center"/>
          </w:tcPr>
          <w:p w:rsidR="00EE1BE1" w:rsidRPr="00A552E8" w:rsidRDefault="00EE1BE1" w:rsidP="00E971DE">
            <w:pPr>
              <w:ind w:left="144" w:right="57" w:firstLine="122"/>
              <w:rPr>
                <w:rFonts w:ascii="Arial" w:eastAsia="Arial Unicode MS" w:hAnsi="Arial" w:cs="Arial"/>
                <w:b/>
                <w:bCs/>
                <w:sz w:val="18"/>
                <w:szCs w:val="18"/>
              </w:rPr>
            </w:pPr>
            <w:r>
              <w:rPr>
                <w:rFonts w:ascii="Arial" w:eastAsia="Arial Unicode MS" w:hAnsi="Arial" w:cs="Arial"/>
                <w:b/>
                <w:bCs/>
                <w:sz w:val="18"/>
                <w:szCs w:val="18"/>
              </w:rPr>
              <w:t>2,137</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EE1BE1" w:rsidRPr="00F32245" w:rsidRDefault="00EE1BE1" w:rsidP="00E971DE">
            <w:pPr>
              <w:ind w:left="144" w:right="57" w:firstLine="122"/>
              <w:rPr>
                <w:rFonts w:ascii="Arial" w:eastAsia="Arial Unicode MS" w:hAnsi="Arial" w:cs="Arial"/>
                <w:b/>
                <w:bCs/>
                <w:sz w:val="18"/>
                <w:szCs w:val="18"/>
              </w:rPr>
            </w:pPr>
            <w:r>
              <w:rPr>
                <w:rFonts w:ascii="Arial" w:eastAsia="Arial Unicode MS" w:hAnsi="Arial" w:cs="Arial"/>
                <w:b/>
                <w:bCs/>
                <w:sz w:val="18"/>
                <w:szCs w:val="18"/>
              </w:rPr>
              <w:t>2,281</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pStyle w:val="Heading4"/>
              <w:ind w:left="123" w:right="40"/>
              <w:rPr>
                <w:rFonts w:ascii="Arial" w:hAnsi="Arial" w:cs="Arial"/>
                <w:sz w:val="18"/>
                <w:szCs w:val="18"/>
              </w:rPr>
            </w:pPr>
            <w:r w:rsidRPr="00BD39D7">
              <w:rPr>
                <w:rFonts w:ascii="Arial" w:hAnsi="Arial" w:cs="Arial"/>
                <w:sz w:val="18"/>
                <w:szCs w:val="18"/>
              </w:rPr>
              <w:t>Total</w:t>
            </w:r>
          </w:p>
        </w:tc>
      </w:tr>
      <w:tr w:rsidR="00EE1BE1" w:rsidRPr="00BD39D7" w:rsidTr="00E971DE">
        <w:trPr>
          <w:cantSplit/>
          <w:trHeight w:val="340"/>
          <w:jc w:val="center"/>
        </w:trPr>
        <w:tc>
          <w:tcPr>
            <w:tcW w:w="9072" w:type="dxa"/>
            <w:gridSpan w:val="6"/>
            <w:tcBorders>
              <w:top w:val="single" w:sz="4" w:space="0" w:color="auto"/>
            </w:tcBorders>
            <w:vAlign w:val="center"/>
          </w:tcPr>
          <w:p w:rsidR="00EE1BE1" w:rsidRPr="00BD39D7" w:rsidRDefault="00EE1BE1" w:rsidP="00E971DE">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EE1BE1" w:rsidRPr="00BD39D7" w:rsidTr="00E971DE">
        <w:trPr>
          <w:cantSplit/>
          <w:trHeight w:val="340"/>
          <w:jc w:val="center"/>
        </w:trPr>
        <w:tc>
          <w:tcPr>
            <w:tcW w:w="9072" w:type="dxa"/>
            <w:gridSpan w:val="6"/>
            <w:vAlign w:val="center"/>
          </w:tcPr>
          <w:p w:rsidR="00EE1BE1" w:rsidRDefault="00EE1BE1" w:rsidP="00E971DE">
            <w:pPr>
              <w:bidi w:val="0"/>
              <w:ind w:right="644"/>
              <w:rPr>
                <w:rFonts w:ascii="Arial" w:hAnsi="Arial" w:cs="Arial"/>
                <w:sz w:val="18"/>
                <w:szCs w:val="18"/>
              </w:rPr>
            </w:pPr>
            <w:r w:rsidRPr="00BD39D7">
              <w:rPr>
                <w:rFonts w:ascii="Arial" w:hAnsi="Arial" w:cs="Arial"/>
                <w:sz w:val="18"/>
                <w:szCs w:val="18"/>
              </w:rPr>
              <w:t>** Excluding boundary wall licenses</w:t>
            </w:r>
          </w:p>
          <w:p w:rsidR="00EE1BE1" w:rsidRPr="00BD39D7" w:rsidRDefault="00EE1BE1" w:rsidP="00E971DE">
            <w:pPr>
              <w:bidi w:val="0"/>
              <w:ind w:right="644"/>
              <w:rPr>
                <w:rFonts w:ascii="Arial" w:hAnsi="Arial" w:cs="Arial"/>
                <w:sz w:val="18"/>
                <w:szCs w:val="18"/>
              </w:rPr>
            </w:pPr>
          </w:p>
        </w:tc>
      </w:tr>
    </w:tbl>
    <w:p w:rsidR="00EE1BE1" w:rsidRDefault="00EE1BE1" w:rsidP="00EE1BE1">
      <w:pPr>
        <w:bidi w:val="0"/>
        <w:ind w:right="-1"/>
        <w:jc w:val="lowKashida"/>
        <w:rPr>
          <w:sz w:val="24"/>
          <w:szCs w:val="24"/>
        </w:rPr>
      </w:pPr>
      <w:r w:rsidRPr="00BD39D7">
        <w:rPr>
          <w:sz w:val="24"/>
          <w:szCs w:val="24"/>
        </w:rPr>
        <w:t xml:space="preserve">The following </w:t>
      </w:r>
      <w:r>
        <w:rPr>
          <w:sz w:val="24"/>
          <w:szCs w:val="24"/>
        </w:rPr>
        <w:t>figure</w:t>
      </w:r>
      <w:r w:rsidRPr="00BD39D7">
        <w:rPr>
          <w:sz w:val="24"/>
          <w:szCs w:val="24"/>
        </w:rPr>
        <w:t xml:space="preserve"> compares the number of building licenses issued</w:t>
      </w:r>
      <w:r>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Pr>
          <w:rStyle w:val="hps"/>
          <w:rFonts w:cs="Times New Roman"/>
          <w:sz w:val="24"/>
          <w:szCs w:val="24"/>
        </w:rPr>
        <w:t>first</w:t>
      </w:r>
      <w:r>
        <w:rPr>
          <w:rFonts w:cs="Times New Roman"/>
          <w:sz w:val="24"/>
          <w:szCs w:val="24"/>
        </w:rPr>
        <w:t xml:space="preserve"> quarter</w:t>
      </w:r>
      <w:r w:rsidRPr="00BD39D7">
        <w:rPr>
          <w:rFonts w:cs="Times New Roman"/>
          <w:sz w:val="24"/>
          <w:szCs w:val="24"/>
        </w:rPr>
        <w:t xml:space="preserve"> of </w:t>
      </w:r>
      <w:r>
        <w:rPr>
          <w:rFonts w:cs="Times New Roman"/>
          <w:sz w:val="24"/>
          <w:szCs w:val="24"/>
        </w:rPr>
        <w:t>2012 to the first quarter</w:t>
      </w:r>
      <w:r w:rsidRPr="000402A2">
        <w:rPr>
          <w:rFonts w:cs="Times New Roman"/>
          <w:sz w:val="24"/>
          <w:szCs w:val="24"/>
        </w:rPr>
        <w:t xml:space="preserve"> </w:t>
      </w:r>
      <w:r>
        <w:rPr>
          <w:rFonts w:cs="Times New Roman"/>
          <w:sz w:val="24"/>
          <w:szCs w:val="24"/>
        </w:rPr>
        <w:t>of 2014</w:t>
      </w:r>
      <w:r w:rsidRPr="00BD39D7">
        <w:rPr>
          <w:rFonts w:cs="Times New Roman"/>
          <w:sz w:val="24"/>
          <w:szCs w:val="24"/>
        </w:rPr>
        <w:t xml:space="preserve"> in </w:t>
      </w:r>
      <w:r>
        <w:rPr>
          <w:rFonts w:cs="Times New Roman"/>
          <w:sz w:val="24"/>
          <w:szCs w:val="24"/>
        </w:rPr>
        <w:t>Palestine</w:t>
      </w:r>
      <w:r w:rsidRPr="00BD39D7">
        <w:rPr>
          <w:rFonts w:cs="Times New Roman"/>
          <w:sz w:val="24"/>
          <w:szCs w:val="24"/>
        </w:rPr>
        <w:t>*</w:t>
      </w:r>
      <w:r>
        <w:rPr>
          <w:rFonts w:cs="Times New Roman"/>
          <w:sz w:val="24"/>
          <w:szCs w:val="24"/>
        </w:rPr>
        <w:t>*:</w:t>
      </w:r>
    </w:p>
    <w:p w:rsidR="00EE1BE1" w:rsidRPr="00365A27" w:rsidRDefault="00EE1BE1" w:rsidP="00EE1BE1">
      <w:pPr>
        <w:bidi w:val="0"/>
        <w:ind w:right="-1"/>
        <w:jc w:val="lowKashida"/>
        <w:rPr>
          <w:sz w:val="8"/>
          <w:szCs w:val="8"/>
        </w:rPr>
      </w:pPr>
    </w:p>
    <w:p w:rsidR="00EE1BE1" w:rsidRDefault="00EE1BE1" w:rsidP="00EE1BE1">
      <w:pPr>
        <w:pStyle w:val="BodyText3"/>
        <w:ind w:left="1" w:right="1"/>
        <w:jc w:val="center"/>
        <w:rPr>
          <w:rFonts w:cs="Times New Roman"/>
        </w:rPr>
      </w:pPr>
      <w:r w:rsidRPr="0074527F">
        <w:rPr>
          <w:rFonts w:cs="Times New Roman"/>
          <w:noProof/>
        </w:rPr>
        <w:drawing>
          <wp:inline distT="0" distB="0" distL="0" distR="0">
            <wp:extent cx="5680311" cy="2378518"/>
            <wp:effectExtent l="19050" t="0" r="15639" b="2732"/>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9072" w:type="dxa"/>
        <w:jc w:val="center"/>
        <w:tblLayout w:type="fixed"/>
        <w:tblCellMar>
          <w:left w:w="0" w:type="dxa"/>
          <w:right w:w="0" w:type="dxa"/>
        </w:tblCellMar>
        <w:tblLook w:val="0000"/>
      </w:tblPr>
      <w:tblGrid>
        <w:gridCol w:w="9072"/>
      </w:tblGrid>
      <w:tr w:rsidR="00EE1BE1" w:rsidRPr="00BD39D7" w:rsidTr="00E971DE">
        <w:trPr>
          <w:cantSplit/>
          <w:trHeight w:val="340"/>
          <w:jc w:val="center"/>
        </w:trPr>
        <w:tc>
          <w:tcPr>
            <w:tcW w:w="9072" w:type="dxa"/>
            <w:vAlign w:val="center"/>
          </w:tcPr>
          <w:p w:rsidR="00EE1BE1" w:rsidRPr="00BD39D7" w:rsidRDefault="00EE1BE1" w:rsidP="00E971DE">
            <w:pPr>
              <w:bidi w:val="0"/>
              <w:ind w:right="16"/>
              <w:rPr>
                <w:rFonts w:ascii="Arial" w:hAnsi="Arial" w:cs="Arial"/>
                <w:sz w:val="18"/>
                <w:szCs w:val="18"/>
              </w:rPr>
            </w:pPr>
            <w:r w:rsidRPr="00BD39D7">
              <w:rPr>
                <w:rFonts w:ascii="Arial" w:hAnsi="Arial" w:cs="Arial"/>
                <w:sz w:val="18"/>
                <w:szCs w:val="18"/>
              </w:rPr>
              <w:t>*. Excluding boundary wall licenses</w:t>
            </w:r>
            <w:r>
              <w:rPr>
                <w:rFonts w:ascii="Arial" w:hAnsi="Arial" w:cs="Arial"/>
                <w:sz w:val="18"/>
                <w:szCs w:val="18"/>
              </w:rPr>
              <w:t>.</w:t>
            </w:r>
          </w:p>
        </w:tc>
      </w:tr>
      <w:tr w:rsidR="00EE1BE1" w:rsidRPr="00BD39D7" w:rsidTr="00E971DE">
        <w:trPr>
          <w:cantSplit/>
          <w:trHeight w:val="340"/>
          <w:jc w:val="center"/>
        </w:trPr>
        <w:tc>
          <w:tcPr>
            <w:tcW w:w="9072" w:type="dxa"/>
            <w:vAlign w:val="center"/>
          </w:tcPr>
          <w:p w:rsidR="00EE1BE1" w:rsidRDefault="00EE1BE1" w:rsidP="00E971DE">
            <w:pPr>
              <w:bidi w:val="0"/>
              <w:ind w:right="644"/>
              <w:rPr>
                <w:rFonts w:ascii="Arial" w:hAnsi="Arial" w:cs="Arial"/>
                <w:sz w:val="18"/>
                <w:szCs w:val="18"/>
              </w:rPr>
            </w:pPr>
            <w:r w:rsidRPr="00BD39D7">
              <w:rPr>
                <w:rFonts w:ascii="Arial" w:hAnsi="Arial" w:cs="Arial"/>
                <w:sz w:val="18"/>
                <w:szCs w:val="18"/>
              </w:rPr>
              <w:t>** The data exclude those parts of Jerusalem annexed by Israel in</w:t>
            </w:r>
            <w:r>
              <w:rPr>
                <w:rFonts w:ascii="Arial" w:hAnsi="Arial" w:cs="Arial"/>
                <w:sz w:val="18"/>
                <w:szCs w:val="18"/>
              </w:rPr>
              <w:t xml:space="preserve"> </w:t>
            </w:r>
            <w:r w:rsidRPr="00BD39D7">
              <w:rPr>
                <w:rFonts w:ascii="Arial" w:hAnsi="Arial" w:cs="Arial"/>
                <w:sz w:val="18"/>
                <w:szCs w:val="18"/>
              </w:rPr>
              <w:t>1967</w:t>
            </w:r>
            <w:r>
              <w:rPr>
                <w:rFonts w:ascii="Arial" w:hAnsi="Arial" w:cs="Arial"/>
                <w:sz w:val="18"/>
                <w:szCs w:val="18"/>
              </w:rPr>
              <w:t>.</w:t>
            </w:r>
          </w:p>
          <w:p w:rsidR="00EE1BE1" w:rsidRPr="00BD39D7" w:rsidRDefault="00EE1BE1" w:rsidP="00E971DE">
            <w:pPr>
              <w:bidi w:val="0"/>
              <w:ind w:right="644"/>
              <w:rPr>
                <w:rFonts w:ascii="Arial" w:hAnsi="Arial" w:cs="Arial"/>
                <w:sz w:val="18"/>
                <w:szCs w:val="18"/>
              </w:rPr>
            </w:pPr>
          </w:p>
        </w:tc>
      </w:tr>
    </w:tbl>
    <w:p w:rsidR="00EE1BE1" w:rsidRDefault="00EE1BE1" w:rsidP="00EE1BE1">
      <w:pPr>
        <w:pStyle w:val="BodyText3"/>
        <w:ind w:left="1" w:right="1"/>
        <w:jc w:val="lowKashida"/>
        <w:rPr>
          <w:rFonts w:cs="Times New Roman"/>
        </w:rPr>
      </w:pPr>
    </w:p>
    <w:p w:rsidR="00EE1BE1" w:rsidRPr="00343DC6" w:rsidRDefault="00EE1BE1" w:rsidP="00EE1BE1">
      <w:pPr>
        <w:pStyle w:val="BodyText3"/>
        <w:ind w:left="1" w:right="1"/>
        <w:jc w:val="lowKashida"/>
        <w:rPr>
          <w:rFonts w:cs="Times New Roman"/>
        </w:rPr>
      </w:pPr>
      <w:r w:rsidRPr="00343DC6">
        <w:rPr>
          <w:rFonts w:cs="Times New Roman"/>
        </w:rPr>
        <w:t xml:space="preserve">The total number of building licenses issued in the </w:t>
      </w:r>
      <w:r>
        <w:rPr>
          <w:rFonts w:cs="Times New Roman"/>
        </w:rPr>
        <w:t>first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2014</w:t>
      </w:r>
      <w:r w:rsidRPr="00343DC6">
        <w:rPr>
          <w:rFonts w:cs="Times New Roman"/>
        </w:rPr>
        <w:t xml:space="preserve"> </w:t>
      </w:r>
      <w:r>
        <w:rPr>
          <w:rFonts w:cs="Times New Roman"/>
        </w:rPr>
        <w:t>increased</w:t>
      </w:r>
      <w:r w:rsidRPr="00343DC6">
        <w:rPr>
          <w:rFonts w:cs="Times New Roman"/>
        </w:rPr>
        <w:t xml:space="preserve"> by </w:t>
      </w:r>
      <w:r>
        <w:rPr>
          <w:rFonts w:cs="Times New Roman"/>
        </w:rPr>
        <w:t>14.4</w:t>
      </w:r>
      <w:r w:rsidRPr="00343DC6">
        <w:rPr>
          <w:rFonts w:cs="Times New Roman"/>
        </w:rPr>
        <w:t xml:space="preserve">% compared with the </w:t>
      </w:r>
      <w:r>
        <w:rPr>
          <w:rFonts w:cs="Times New Roman"/>
        </w:rPr>
        <w:t>fourth quarter</w:t>
      </w:r>
      <w:r w:rsidRPr="00343DC6">
        <w:rPr>
          <w:rFonts w:cs="Times New Roman"/>
        </w:rPr>
        <w:t xml:space="preserve"> of 201</w:t>
      </w:r>
      <w:r>
        <w:rPr>
          <w:rFonts w:cs="Times New Roman"/>
        </w:rPr>
        <w:t>3</w:t>
      </w:r>
      <w:r w:rsidRPr="00343DC6">
        <w:rPr>
          <w:rFonts w:cs="Times New Roman"/>
        </w:rPr>
        <w:t xml:space="preserve"> </w:t>
      </w:r>
      <w:r>
        <w:rPr>
          <w:rFonts w:cs="Times New Roman"/>
        </w:rPr>
        <w:t>and was 7.2</w:t>
      </w:r>
      <w:r w:rsidRPr="00343DC6">
        <w:rPr>
          <w:rFonts w:cs="Times New Roman"/>
        </w:rPr>
        <w:t xml:space="preserve">% </w:t>
      </w:r>
      <w:r>
        <w:rPr>
          <w:rFonts w:cs="Times New Roman"/>
        </w:rPr>
        <w:t xml:space="preserve">higher than in </w:t>
      </w:r>
      <w:r w:rsidRPr="00343DC6">
        <w:rPr>
          <w:rFonts w:cs="Times New Roman"/>
        </w:rPr>
        <w:t xml:space="preserve">the </w:t>
      </w:r>
      <w:r>
        <w:rPr>
          <w:rFonts w:cs="Times New Roman"/>
        </w:rPr>
        <w:t>first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p>
    <w:p w:rsidR="00E07382" w:rsidRDefault="00E07382" w:rsidP="00FE2E12">
      <w:pPr>
        <w:pStyle w:val="BodyText3"/>
        <w:tabs>
          <w:tab w:val="left" w:pos="3131"/>
        </w:tabs>
        <w:ind w:left="-1" w:right="-1"/>
        <w:rPr>
          <w:rFonts w:ascii="Arial" w:hAnsi="Arial" w:cs="Arial"/>
          <w:sz w:val="28"/>
          <w:szCs w:val="28"/>
        </w:rPr>
      </w:pPr>
    </w:p>
    <w:p w:rsidR="00E07382" w:rsidRDefault="00E07382" w:rsidP="00FE2E12">
      <w:pPr>
        <w:pStyle w:val="BodyText3"/>
        <w:tabs>
          <w:tab w:val="left" w:pos="3131"/>
        </w:tabs>
        <w:ind w:left="-1" w:right="-1"/>
        <w:rPr>
          <w:rFonts w:ascii="Arial" w:hAnsi="Arial" w:cs="Arial"/>
          <w:sz w:val="28"/>
          <w:szCs w:val="28"/>
        </w:rPr>
      </w:pPr>
    </w:p>
    <w:p w:rsidR="004926FD"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CC4FFA" w:rsidRPr="00324BB6" w:rsidRDefault="00CC4FFA" w:rsidP="00FE2E12">
      <w:pPr>
        <w:pStyle w:val="BodyText3"/>
        <w:tabs>
          <w:tab w:val="left" w:pos="3131"/>
        </w:tabs>
        <w:ind w:left="-1" w:right="-1"/>
        <w:rPr>
          <w:rFonts w:ascii="Arial" w:hAnsi="Arial" w:cs="Arial"/>
          <w:sz w:val="28"/>
          <w:szCs w:val="28"/>
        </w:rPr>
      </w:pPr>
    </w:p>
    <w:p w:rsidR="00F172F5" w:rsidRDefault="00F172F5" w:rsidP="00971686">
      <w:pPr>
        <w:bidi w:val="0"/>
        <w:jc w:val="both"/>
        <w:rPr>
          <w:rFonts w:cs="Times New Roman"/>
          <w:b/>
          <w:bCs/>
          <w:sz w:val="24"/>
          <w:szCs w:val="24"/>
        </w:rPr>
      </w:pPr>
    </w:p>
    <w:p w:rsidR="00EE1BE1" w:rsidRDefault="0048677E" w:rsidP="00EE1BE1">
      <w:pPr>
        <w:bidi w:val="0"/>
        <w:jc w:val="both"/>
        <w:rPr>
          <w:rFonts w:cs="Times New Roman"/>
          <w:sz w:val="24"/>
          <w:szCs w:val="24"/>
        </w:rPr>
      </w:pPr>
      <w:r w:rsidRPr="00324BB6">
        <w:rPr>
          <w:rFonts w:cs="Times New Roman"/>
          <w:b/>
          <w:bCs/>
          <w:sz w:val="24"/>
          <w:szCs w:val="24"/>
        </w:rPr>
        <w:lastRenderedPageBreak/>
        <w:t xml:space="preserve">1.2 </w:t>
      </w:r>
      <w:r w:rsidR="0088617D" w:rsidRPr="00324BB6">
        <w:rPr>
          <w:rFonts w:cs="Times New Roman"/>
          <w:b/>
          <w:bCs/>
          <w:sz w:val="24"/>
          <w:szCs w:val="24"/>
        </w:rPr>
        <w:t xml:space="preserve"> </w:t>
      </w:r>
      <w:r w:rsidR="00EE1BE1" w:rsidRPr="00324BB6">
        <w:rPr>
          <w:rFonts w:cs="Times New Roman"/>
          <w:b/>
          <w:bCs/>
          <w:sz w:val="24"/>
          <w:szCs w:val="24"/>
        </w:rPr>
        <w:t>Number of Licenses by Governorate</w:t>
      </w:r>
      <w:r w:rsidR="00EE1BE1" w:rsidRPr="00324BB6">
        <w:rPr>
          <w:rFonts w:cs="Times New Roman"/>
          <w:sz w:val="24"/>
          <w:szCs w:val="24"/>
        </w:rPr>
        <w:t xml:space="preserve">: </w:t>
      </w:r>
      <w:r w:rsidR="00EE1BE1">
        <w:rPr>
          <w:rFonts w:cs="Times New Roman"/>
          <w:sz w:val="24"/>
          <w:szCs w:val="24"/>
        </w:rPr>
        <w:t>Nablus</w:t>
      </w:r>
      <w:r w:rsidR="00EE1BE1" w:rsidRPr="00324BB6">
        <w:rPr>
          <w:rFonts w:cs="Times New Roman"/>
          <w:sz w:val="24"/>
          <w:szCs w:val="24"/>
        </w:rPr>
        <w:t xml:space="preserve"> recorded the highest number of building licenses </w:t>
      </w:r>
      <w:r w:rsidR="00EE1BE1">
        <w:rPr>
          <w:rFonts w:cs="Times New Roman"/>
          <w:sz w:val="24"/>
          <w:szCs w:val="24"/>
        </w:rPr>
        <w:t>of 577</w:t>
      </w:r>
      <w:r w:rsidR="00EE1BE1" w:rsidRPr="00324BB6">
        <w:rPr>
          <w:rFonts w:cs="Times New Roman"/>
          <w:sz w:val="24"/>
          <w:szCs w:val="24"/>
        </w:rPr>
        <w:t xml:space="preserve"> issued for residential buildings during the </w:t>
      </w:r>
      <w:r w:rsidR="00EE1BE1">
        <w:rPr>
          <w:rFonts w:cs="Times New Roman"/>
          <w:sz w:val="24"/>
          <w:szCs w:val="24"/>
        </w:rPr>
        <w:t>first</w:t>
      </w:r>
      <w:r w:rsidR="00EE1BE1">
        <w:rPr>
          <w:rFonts w:asciiTheme="majorBidi" w:hAnsiTheme="majorBidi" w:cstheme="majorBidi"/>
          <w:sz w:val="16"/>
          <w:szCs w:val="16"/>
        </w:rPr>
        <w:t xml:space="preserve"> </w:t>
      </w:r>
      <w:r w:rsidR="00EE1BE1">
        <w:rPr>
          <w:rFonts w:cs="Times New Roman"/>
          <w:sz w:val="24"/>
          <w:szCs w:val="24"/>
        </w:rPr>
        <w:t>quarter</w:t>
      </w:r>
      <w:r w:rsidR="00EE1BE1" w:rsidRPr="00324BB6">
        <w:rPr>
          <w:rFonts w:cs="Times New Roman"/>
          <w:sz w:val="24"/>
          <w:szCs w:val="24"/>
        </w:rPr>
        <w:t xml:space="preserve"> of </w:t>
      </w:r>
      <w:r w:rsidR="00EE1BE1">
        <w:rPr>
          <w:rFonts w:cs="Times New Roman"/>
          <w:sz w:val="24"/>
          <w:szCs w:val="24"/>
        </w:rPr>
        <w:t>2014</w:t>
      </w:r>
      <w:r w:rsidR="00EE1BE1" w:rsidRPr="00324BB6">
        <w:rPr>
          <w:rFonts w:cs="Times New Roman"/>
          <w:sz w:val="24"/>
          <w:szCs w:val="24"/>
        </w:rPr>
        <w:t xml:space="preserve">, while </w:t>
      </w:r>
      <w:r w:rsidR="00EE1BE1">
        <w:rPr>
          <w:rFonts w:cs="Times New Roman"/>
          <w:sz w:val="24"/>
          <w:szCs w:val="24"/>
        </w:rPr>
        <w:t>Hebron</w:t>
      </w:r>
      <w:r w:rsidR="00EE1BE1" w:rsidRPr="00324BB6">
        <w:rPr>
          <w:rFonts w:cs="Times New Roman"/>
          <w:sz w:val="24"/>
          <w:szCs w:val="24"/>
        </w:rPr>
        <w:t xml:space="preserve"> governorate </w:t>
      </w:r>
      <w:r w:rsidR="00EE1BE1">
        <w:rPr>
          <w:rFonts w:cs="Times New Roman"/>
          <w:sz w:val="24"/>
          <w:szCs w:val="24"/>
        </w:rPr>
        <w:t>occupied</w:t>
      </w:r>
      <w:r w:rsidR="00EE1BE1" w:rsidRPr="00324BB6">
        <w:rPr>
          <w:rFonts w:cs="Times New Roman"/>
          <w:sz w:val="24"/>
          <w:szCs w:val="24"/>
        </w:rPr>
        <w:t xml:space="preserve"> second</w:t>
      </w:r>
      <w:r w:rsidR="00EE1BE1">
        <w:rPr>
          <w:rFonts w:cs="Times New Roman"/>
          <w:sz w:val="24"/>
          <w:szCs w:val="24"/>
        </w:rPr>
        <w:t xml:space="preserve"> place</w:t>
      </w:r>
      <w:r w:rsidR="00EE1BE1" w:rsidRPr="00324BB6">
        <w:rPr>
          <w:rFonts w:cs="Times New Roman"/>
          <w:sz w:val="24"/>
          <w:szCs w:val="24"/>
        </w:rPr>
        <w:t xml:space="preserve"> with</w:t>
      </w:r>
      <w:r w:rsidR="00EE1BE1">
        <w:rPr>
          <w:rFonts w:cs="Times New Roman"/>
          <w:sz w:val="24"/>
          <w:szCs w:val="24"/>
        </w:rPr>
        <w:t xml:space="preserve"> 402 licenses. </w:t>
      </w:r>
      <w:r w:rsidR="00EE1BE1" w:rsidRPr="00324BB6">
        <w:rPr>
          <w:rFonts w:cs="Times New Roman"/>
          <w:sz w:val="24"/>
          <w:szCs w:val="24"/>
        </w:rPr>
        <w:t>The highest number of licenses</w:t>
      </w:r>
      <w:r w:rsidR="00EE1BE1">
        <w:rPr>
          <w:rFonts w:cs="Times New Roman"/>
          <w:sz w:val="24"/>
          <w:szCs w:val="24"/>
        </w:rPr>
        <w:t xml:space="preserve"> for non-residential buildings was 48 licenses</w:t>
      </w:r>
      <w:r w:rsidR="00EE1BE1" w:rsidRPr="00324BB6">
        <w:rPr>
          <w:rFonts w:cs="Times New Roman"/>
          <w:sz w:val="24"/>
          <w:szCs w:val="24"/>
        </w:rPr>
        <w:t xml:space="preserve"> in</w:t>
      </w:r>
      <w:r w:rsidR="00EE1BE1">
        <w:rPr>
          <w:rFonts w:cs="Times New Roman"/>
          <w:sz w:val="24"/>
          <w:szCs w:val="24"/>
        </w:rPr>
        <w:t xml:space="preserve"> each of Hebron and</w:t>
      </w:r>
      <w:r w:rsidR="00EE1BE1" w:rsidRPr="00324BB6">
        <w:rPr>
          <w:rFonts w:cs="Times New Roman"/>
          <w:sz w:val="24"/>
          <w:szCs w:val="24"/>
        </w:rPr>
        <w:t xml:space="preserve"> Nablus</w:t>
      </w:r>
      <w:r w:rsidR="00EE1BE1">
        <w:rPr>
          <w:rFonts w:cs="Times New Roman"/>
          <w:sz w:val="24"/>
          <w:szCs w:val="24"/>
        </w:rPr>
        <w:t xml:space="preserve"> </w:t>
      </w:r>
      <w:r w:rsidR="00EE1BE1" w:rsidRPr="00324BB6">
        <w:rPr>
          <w:rFonts w:cs="Times New Roman"/>
          <w:sz w:val="24"/>
          <w:szCs w:val="24"/>
        </w:rPr>
        <w:t>governorate</w:t>
      </w:r>
      <w:r w:rsidR="00EE1BE1">
        <w:rPr>
          <w:rFonts w:cs="Times New Roman"/>
          <w:sz w:val="24"/>
          <w:szCs w:val="24"/>
        </w:rPr>
        <w:t>s</w:t>
      </w:r>
      <w:r w:rsidR="00EE1BE1" w:rsidRPr="00324BB6">
        <w:rPr>
          <w:rFonts w:cs="Times New Roman"/>
          <w:sz w:val="24"/>
          <w:szCs w:val="24"/>
        </w:rPr>
        <w:t>.</w:t>
      </w:r>
    </w:p>
    <w:p w:rsidR="00EE1BE1" w:rsidRDefault="00EE1BE1" w:rsidP="00EE1BE1">
      <w:pPr>
        <w:bidi w:val="0"/>
        <w:jc w:val="both"/>
        <w:rPr>
          <w:rFonts w:cs="Times New Roman"/>
          <w:sz w:val="24"/>
          <w:szCs w:val="24"/>
        </w:rPr>
      </w:pPr>
    </w:p>
    <w:p w:rsidR="00EE1BE1" w:rsidRDefault="00EE1BE1" w:rsidP="00EE1BE1">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 in </w:t>
      </w:r>
      <w:r>
        <w:rPr>
          <w:rFonts w:cs="Times New Roman"/>
          <w:sz w:val="24"/>
          <w:szCs w:val="24"/>
        </w:rPr>
        <w:t>Palestine</w:t>
      </w:r>
      <w:r w:rsidRPr="00AB2CF1">
        <w:rPr>
          <w:rFonts w:cs="Times New Roman"/>
          <w:sz w:val="24"/>
          <w:szCs w:val="24"/>
        </w:rPr>
        <w:t xml:space="preserve"> in the </w:t>
      </w:r>
      <w:r>
        <w:rPr>
          <w:rFonts w:cs="Times New Roman"/>
          <w:sz w:val="24"/>
          <w:szCs w:val="24"/>
        </w:rPr>
        <w:t>first</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Pr>
          <w:rFonts w:cs="Times New Roman"/>
          <w:sz w:val="24"/>
          <w:szCs w:val="24"/>
        </w:rPr>
        <w:t xml:space="preserve">fourth </w:t>
      </w:r>
      <w:r>
        <w:rPr>
          <w:rFonts w:asciiTheme="majorBidi" w:hAnsiTheme="majorBidi" w:cstheme="majorBidi"/>
          <w:sz w:val="24"/>
          <w:szCs w:val="24"/>
        </w:rPr>
        <w:t>quarter</w:t>
      </w:r>
      <w:r w:rsidRPr="00AB2CF1">
        <w:rPr>
          <w:rFonts w:cs="Times New Roman"/>
          <w:sz w:val="24"/>
          <w:szCs w:val="24"/>
        </w:rPr>
        <w:t xml:space="preserve"> of 201</w:t>
      </w:r>
      <w:r>
        <w:rPr>
          <w:rFonts w:cs="Times New Roman"/>
          <w:sz w:val="24"/>
          <w:szCs w:val="24"/>
        </w:rPr>
        <w:t>3</w:t>
      </w:r>
      <w:r w:rsidRPr="00AB2CF1">
        <w:rPr>
          <w:rFonts w:cs="Times New Roman"/>
          <w:sz w:val="24"/>
          <w:szCs w:val="24"/>
        </w:rPr>
        <w:t>:</w:t>
      </w:r>
      <w:r w:rsidRPr="002C1E91">
        <w:t xml:space="preserve"> </w:t>
      </w:r>
    </w:p>
    <w:p w:rsidR="00131593" w:rsidRPr="00E07382" w:rsidRDefault="00386D56" w:rsidP="00EE1BE1">
      <w:pPr>
        <w:bidi w:val="0"/>
        <w:jc w:val="both"/>
        <w:rPr>
          <w:rStyle w:val="longtext1"/>
          <w:rFonts w:cs="Times New Roman"/>
          <w:spacing w:val="0"/>
          <w:sz w:val="24"/>
          <w:szCs w:val="24"/>
        </w:rPr>
      </w:pPr>
      <w:r w:rsidRPr="00386D56">
        <w:rPr>
          <w:rFonts w:cs="Times New Roman"/>
          <w:noProof/>
          <w:sz w:val="24"/>
          <w:szCs w:val="24"/>
        </w:rPr>
        <w:drawing>
          <wp:inline distT="0" distB="0" distL="0" distR="0">
            <wp:extent cx="6288273" cy="3221665"/>
            <wp:effectExtent l="19050" t="0" r="17277"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bidiVisual/>
        <w:tblW w:w="9230" w:type="dxa"/>
        <w:jc w:val="center"/>
        <w:tblInd w:w="324" w:type="dxa"/>
        <w:tblCellMar>
          <w:left w:w="0" w:type="dxa"/>
          <w:right w:w="0" w:type="dxa"/>
        </w:tblCellMar>
        <w:tblLook w:val="0000"/>
      </w:tblPr>
      <w:tblGrid>
        <w:gridCol w:w="9230"/>
      </w:tblGrid>
      <w:tr w:rsidR="003A2D3E" w:rsidRPr="00AB2CF1" w:rsidTr="003A2D3E">
        <w:trPr>
          <w:cantSplit/>
          <w:trHeight w:val="340"/>
          <w:jc w:val="center"/>
        </w:trPr>
        <w:tc>
          <w:tcPr>
            <w:tcW w:w="9230" w:type="dxa"/>
            <w:vAlign w:val="center"/>
          </w:tcPr>
          <w:p w:rsidR="003A2D3E" w:rsidRPr="00BD39D7" w:rsidRDefault="003A2D3E" w:rsidP="0017058D">
            <w:pPr>
              <w:bidi w:val="0"/>
              <w:ind w:right="16" w:firstLine="222"/>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170DBA" w:rsidRDefault="00170DBA" w:rsidP="00170DBA">
      <w:pPr>
        <w:bidi w:val="0"/>
        <w:jc w:val="both"/>
        <w:rPr>
          <w:b/>
          <w:bCs/>
        </w:rPr>
      </w:pPr>
    </w:p>
    <w:p w:rsidR="00170DBA" w:rsidRDefault="00170DBA" w:rsidP="00170DBA">
      <w:pPr>
        <w:bidi w:val="0"/>
        <w:jc w:val="both"/>
      </w:pPr>
    </w:p>
    <w:p w:rsidR="00EE1BE1" w:rsidRDefault="00EE1BE1" w:rsidP="00EE1BE1">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Pr>
          <w:rFonts w:cs="Times New Roman"/>
          <w:sz w:val="24"/>
          <w:szCs w:val="24"/>
        </w:rPr>
        <w:t>first</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Pr>
          <w:rFonts w:cs="Times New Roman"/>
          <w:sz w:val="24"/>
          <w:szCs w:val="24"/>
        </w:rPr>
        <w:t xml:space="preserve">fourth </w:t>
      </w:r>
      <w:r>
        <w:rPr>
          <w:rFonts w:asciiTheme="majorBidi" w:hAnsiTheme="majorBidi" w:cstheme="majorBidi"/>
          <w:sz w:val="24"/>
          <w:szCs w:val="24"/>
        </w:rPr>
        <w:t>quarter</w:t>
      </w:r>
      <w:r w:rsidRPr="00AB2CF1">
        <w:rPr>
          <w:rFonts w:cs="Times New Roman"/>
          <w:sz w:val="24"/>
          <w:szCs w:val="24"/>
        </w:rPr>
        <w:t xml:space="preserve"> of 201</w:t>
      </w:r>
      <w:r>
        <w:rPr>
          <w:rFonts w:cs="Times New Roman"/>
          <w:sz w:val="24"/>
          <w:szCs w:val="24"/>
        </w:rPr>
        <w:t>3</w:t>
      </w:r>
      <w:r w:rsidRPr="00AB2CF1">
        <w:rPr>
          <w:rFonts w:cs="Times New Roman"/>
          <w:sz w:val="24"/>
          <w:szCs w:val="24"/>
        </w:rPr>
        <w:t>:</w:t>
      </w:r>
    </w:p>
    <w:p w:rsidR="00E07382" w:rsidRDefault="00E07382" w:rsidP="00365A27">
      <w:pPr>
        <w:bidi w:val="0"/>
        <w:jc w:val="center"/>
        <w:rPr>
          <w:rFonts w:cs="Times New Roman"/>
          <w:sz w:val="24"/>
          <w:szCs w:val="24"/>
        </w:rPr>
      </w:pPr>
      <w:r w:rsidRPr="00E07382">
        <w:rPr>
          <w:rFonts w:cs="Times New Roman"/>
          <w:noProof/>
          <w:sz w:val="24"/>
          <w:szCs w:val="24"/>
        </w:rPr>
        <w:drawing>
          <wp:inline distT="0" distB="0" distL="0" distR="0">
            <wp:extent cx="6286057" cy="3051544"/>
            <wp:effectExtent l="19050" t="0" r="19493"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bidiVisual/>
        <w:tblW w:w="9230" w:type="dxa"/>
        <w:jc w:val="center"/>
        <w:tblInd w:w="324" w:type="dxa"/>
        <w:tblCellMar>
          <w:left w:w="0" w:type="dxa"/>
          <w:right w:w="0" w:type="dxa"/>
        </w:tblCellMar>
        <w:tblLook w:val="0000"/>
      </w:tblPr>
      <w:tblGrid>
        <w:gridCol w:w="9230"/>
      </w:tblGrid>
      <w:tr w:rsidR="00A01C6B" w:rsidRPr="00AB2CF1" w:rsidTr="005B0436">
        <w:trPr>
          <w:cantSplit/>
          <w:trHeight w:val="340"/>
          <w:jc w:val="center"/>
        </w:trPr>
        <w:tc>
          <w:tcPr>
            <w:tcW w:w="9230" w:type="dxa"/>
            <w:vAlign w:val="center"/>
          </w:tcPr>
          <w:p w:rsidR="00A01C6B" w:rsidRPr="00AB2CF1" w:rsidRDefault="00A01C6B" w:rsidP="005B0436">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A01C6B" w:rsidRPr="00BD39D7" w:rsidTr="005B0436">
        <w:trPr>
          <w:cantSplit/>
          <w:trHeight w:val="340"/>
          <w:jc w:val="center"/>
        </w:trPr>
        <w:tc>
          <w:tcPr>
            <w:tcW w:w="9230" w:type="dxa"/>
            <w:vAlign w:val="center"/>
          </w:tcPr>
          <w:p w:rsidR="00A01C6B" w:rsidRPr="00BD39D7" w:rsidRDefault="00A01C6B" w:rsidP="005B0436">
            <w:pPr>
              <w:bidi w:val="0"/>
              <w:ind w:right="16" w:firstLine="222"/>
              <w:rPr>
                <w:rFonts w:ascii="Arial" w:hAnsi="Arial" w:cs="Arial"/>
                <w:sz w:val="18"/>
                <w:szCs w:val="18"/>
              </w:rPr>
            </w:pPr>
            <w:r w:rsidRPr="00BD39D7">
              <w:rPr>
                <w:rFonts w:ascii="Arial" w:hAnsi="Arial" w:cs="Arial"/>
                <w:sz w:val="18"/>
                <w:szCs w:val="18"/>
              </w:rPr>
              <w:t>** The data exclude those parts of Jerusalem annexed by Israel in1967.</w:t>
            </w:r>
          </w:p>
        </w:tc>
      </w:tr>
    </w:tbl>
    <w:p w:rsidR="0033746C" w:rsidRPr="00AB2CF1" w:rsidRDefault="0088617D" w:rsidP="0033746C">
      <w:pPr>
        <w:bidi w:val="0"/>
        <w:jc w:val="both"/>
        <w:rPr>
          <w:sz w:val="24"/>
          <w:szCs w:val="24"/>
        </w:rPr>
      </w:pPr>
      <w:r w:rsidRPr="00AB2CF1">
        <w:rPr>
          <w:b/>
          <w:bCs/>
          <w:sz w:val="24"/>
          <w:szCs w:val="24"/>
        </w:rPr>
        <w:lastRenderedPageBreak/>
        <w:t xml:space="preserve">1.3  </w:t>
      </w:r>
      <w:r w:rsidR="0033746C" w:rsidRPr="00AB2CF1">
        <w:rPr>
          <w:b/>
          <w:bCs/>
          <w:sz w:val="24"/>
          <w:szCs w:val="24"/>
        </w:rPr>
        <w:t xml:space="preserve">Licensed </w:t>
      </w:r>
      <w:r w:rsidR="0033746C">
        <w:rPr>
          <w:b/>
          <w:bCs/>
          <w:sz w:val="24"/>
          <w:szCs w:val="24"/>
        </w:rPr>
        <w:t>A</w:t>
      </w:r>
      <w:r w:rsidR="0033746C" w:rsidRPr="00AB2CF1">
        <w:rPr>
          <w:b/>
          <w:bCs/>
          <w:sz w:val="24"/>
          <w:szCs w:val="24"/>
        </w:rPr>
        <w:t>rea</w:t>
      </w:r>
      <w:r w:rsidR="0033746C" w:rsidRPr="00AB2CF1">
        <w:rPr>
          <w:sz w:val="24"/>
          <w:szCs w:val="24"/>
        </w:rPr>
        <w:t xml:space="preserve">: The following table compares </w:t>
      </w:r>
      <w:r w:rsidR="0033746C">
        <w:rPr>
          <w:sz w:val="24"/>
          <w:szCs w:val="24"/>
        </w:rPr>
        <w:t xml:space="preserve">the total </w:t>
      </w:r>
      <w:r w:rsidR="0033746C" w:rsidRPr="00AB2CF1">
        <w:rPr>
          <w:sz w:val="24"/>
          <w:szCs w:val="24"/>
        </w:rPr>
        <w:t>licensed</w:t>
      </w:r>
      <w:r w:rsidR="0033746C">
        <w:rPr>
          <w:sz w:val="24"/>
          <w:szCs w:val="24"/>
        </w:rPr>
        <w:t xml:space="preserve"> </w:t>
      </w:r>
      <w:r w:rsidR="0033746C" w:rsidRPr="00AB2CF1">
        <w:rPr>
          <w:sz w:val="24"/>
          <w:szCs w:val="24"/>
        </w:rPr>
        <w:t xml:space="preserve">area in </w:t>
      </w:r>
      <w:r w:rsidR="0033746C">
        <w:rPr>
          <w:sz w:val="24"/>
          <w:szCs w:val="24"/>
        </w:rPr>
        <w:t>Palestine*</w:t>
      </w:r>
      <w:r w:rsidR="0033746C" w:rsidRPr="00AB2CF1">
        <w:rPr>
          <w:sz w:val="24"/>
          <w:szCs w:val="24"/>
        </w:rPr>
        <w:t xml:space="preserve"> for </w:t>
      </w:r>
      <w:r w:rsidR="0033746C" w:rsidRPr="00AB2CF1">
        <w:rPr>
          <w:rFonts w:cs="Times New Roman"/>
          <w:sz w:val="24"/>
          <w:szCs w:val="24"/>
        </w:rPr>
        <w:t xml:space="preserve">the </w:t>
      </w:r>
      <w:r w:rsidR="0033746C">
        <w:rPr>
          <w:rFonts w:cs="Times New Roman"/>
          <w:sz w:val="24"/>
          <w:szCs w:val="24"/>
        </w:rPr>
        <w:t xml:space="preserve">first </w:t>
      </w:r>
      <w:r w:rsidR="0033746C">
        <w:rPr>
          <w:rFonts w:asciiTheme="majorBidi" w:hAnsiTheme="majorBidi" w:cstheme="majorBidi"/>
          <w:sz w:val="16"/>
          <w:szCs w:val="16"/>
        </w:rPr>
        <w:t xml:space="preserve"> </w:t>
      </w:r>
      <w:r w:rsidR="0033746C" w:rsidRPr="00AB2CF1">
        <w:rPr>
          <w:rFonts w:cs="Times New Roman"/>
          <w:sz w:val="24"/>
          <w:szCs w:val="24"/>
        </w:rPr>
        <w:t xml:space="preserve">quarter of </w:t>
      </w:r>
      <w:r w:rsidR="0033746C">
        <w:rPr>
          <w:rFonts w:cs="Times New Roman"/>
          <w:sz w:val="24"/>
          <w:szCs w:val="24"/>
        </w:rPr>
        <w:t>2014</w:t>
      </w:r>
      <w:r w:rsidR="0033746C" w:rsidRPr="00AB2CF1">
        <w:rPr>
          <w:rFonts w:cs="Times New Roman"/>
          <w:sz w:val="24"/>
          <w:szCs w:val="24"/>
        </w:rPr>
        <w:t xml:space="preserve"> </w:t>
      </w:r>
      <w:r w:rsidR="0033746C" w:rsidRPr="00AB2CF1">
        <w:rPr>
          <w:sz w:val="24"/>
          <w:szCs w:val="24"/>
        </w:rPr>
        <w:t>with the previous and corresponding quarters</w:t>
      </w:r>
      <w:r w:rsidR="00F40EE3">
        <w:rPr>
          <w:sz w:val="24"/>
          <w:szCs w:val="24"/>
        </w:rPr>
        <w:t xml:space="preserve"> 2013</w:t>
      </w:r>
      <w:r w:rsidR="0033746C" w:rsidRPr="00AB2CF1">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1978"/>
        <w:gridCol w:w="1274"/>
        <w:gridCol w:w="1413"/>
        <w:gridCol w:w="1290"/>
        <w:gridCol w:w="1423"/>
        <w:gridCol w:w="1694"/>
      </w:tblGrid>
      <w:tr w:rsidR="0033746C" w:rsidRPr="00AB2CF1" w:rsidTr="00A47201">
        <w:trPr>
          <w:trHeight w:val="340"/>
          <w:jc w:val="center"/>
        </w:trPr>
        <w:tc>
          <w:tcPr>
            <w:tcW w:w="1978"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977" w:type="dxa"/>
            <w:gridSpan w:val="3"/>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423" w:type="dxa"/>
            <w:vMerge w:val="restart"/>
            <w:vAlign w:val="center"/>
          </w:tcPr>
          <w:p w:rsidR="0033746C" w:rsidRPr="00BD39D7" w:rsidRDefault="0033746C" w:rsidP="00F671D6">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first quarter</w:t>
            </w:r>
            <w:r w:rsidRPr="00BD39D7">
              <w:rPr>
                <w:rFonts w:asciiTheme="minorBidi" w:hAnsiTheme="minorBidi" w:cstheme="minorBidi"/>
                <w:b/>
                <w:bCs/>
                <w:sz w:val="18"/>
                <w:szCs w:val="18"/>
              </w:rPr>
              <w:t xml:space="preserve"> </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694" w:type="dxa"/>
            <w:vMerge w:val="restart"/>
            <w:vAlign w:val="center"/>
          </w:tcPr>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r>
      <w:tr w:rsidR="0033746C" w:rsidRPr="00AB2CF1" w:rsidTr="00A47201">
        <w:trPr>
          <w:trHeight w:val="340"/>
          <w:jc w:val="center"/>
        </w:trPr>
        <w:tc>
          <w:tcPr>
            <w:tcW w:w="1978" w:type="dxa"/>
            <w:vMerge/>
            <w:tcBorders>
              <w:bottom w:val="single" w:sz="4" w:space="0" w:color="auto"/>
            </w:tcBorders>
          </w:tcPr>
          <w:p w:rsidR="0033746C" w:rsidRPr="00AB2CF1" w:rsidRDefault="0033746C" w:rsidP="00FE7096">
            <w:pPr>
              <w:bidi w:val="0"/>
              <w:jc w:val="lowKashida"/>
              <w:rPr>
                <w:rFonts w:asciiTheme="minorBidi" w:hAnsiTheme="minorBidi" w:cstheme="minorBidi"/>
                <w:sz w:val="24"/>
                <w:szCs w:val="24"/>
              </w:rPr>
            </w:pPr>
          </w:p>
        </w:tc>
        <w:tc>
          <w:tcPr>
            <w:tcW w:w="1274"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lang w:val="fr-FR"/>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33746C" w:rsidRPr="00BD39D7" w:rsidRDefault="0033746C" w:rsidP="00F671D6">
            <w:pPr>
              <w:jc w:val="center"/>
              <w:rPr>
                <w:rFonts w:asciiTheme="minorBidi" w:hAnsiTheme="minorBidi" w:cstheme="minorBidi"/>
                <w:sz w:val="18"/>
                <w:szCs w:val="18"/>
                <w:rtl/>
              </w:rPr>
            </w:pPr>
            <w:r>
              <w:rPr>
                <w:rFonts w:asciiTheme="minorBidi" w:hAnsiTheme="minorBidi" w:cstheme="minorBidi"/>
                <w:sz w:val="18"/>
                <w:szCs w:val="18"/>
                <w:lang w:val="fr-FR"/>
              </w:rPr>
              <w:t>2013</w:t>
            </w:r>
          </w:p>
        </w:tc>
        <w:tc>
          <w:tcPr>
            <w:tcW w:w="1413"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rPr>
            </w:pPr>
            <w:r>
              <w:rPr>
                <w:rFonts w:asciiTheme="minorBidi" w:hAnsiTheme="minorBidi" w:cstheme="minorBidi"/>
                <w:sz w:val="18"/>
                <w:szCs w:val="18"/>
              </w:rPr>
              <w:t>fourth</w:t>
            </w:r>
            <w:r>
              <w:rPr>
                <w:rFonts w:cs="Times New Roman"/>
                <w:sz w:val="24"/>
                <w:szCs w:val="24"/>
              </w:rPr>
              <w:t xml:space="preserve"> </w:t>
            </w:r>
            <w:r>
              <w:rPr>
                <w:rFonts w:asciiTheme="minorBidi" w:hAnsiTheme="minorBidi" w:cstheme="minorBidi"/>
                <w:sz w:val="18"/>
                <w:szCs w:val="18"/>
              </w:rPr>
              <w:t>quarter</w:t>
            </w:r>
          </w:p>
          <w:p w:rsidR="0033746C" w:rsidRPr="003C0AE5" w:rsidRDefault="0033746C" w:rsidP="00F671D6">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1290" w:type="dxa"/>
            <w:tcBorders>
              <w:bottom w:val="single" w:sz="4" w:space="0" w:color="auto"/>
            </w:tcBorders>
            <w:vAlign w:val="center"/>
          </w:tcPr>
          <w:p w:rsidR="0033746C" w:rsidRPr="00BD39D7" w:rsidRDefault="0033746C" w:rsidP="00F671D6">
            <w:pPr>
              <w:bidi w:val="0"/>
              <w:jc w:val="center"/>
              <w:rPr>
                <w:rFonts w:asciiTheme="minorBidi" w:hAnsiTheme="minorBidi" w:cstheme="minorBidi"/>
                <w:sz w:val="18"/>
                <w:szCs w:val="18"/>
                <w:rtl/>
              </w:rPr>
            </w:pPr>
            <w:r>
              <w:rPr>
                <w:rFonts w:asciiTheme="minorBidi" w:hAnsiTheme="minorBidi" w:cstheme="minorBidi"/>
                <w:sz w:val="18"/>
                <w:szCs w:val="18"/>
              </w:rPr>
              <w:t>first quarter</w:t>
            </w:r>
          </w:p>
          <w:p w:rsidR="0033746C" w:rsidRPr="00BD39D7" w:rsidRDefault="0033746C" w:rsidP="00F671D6">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423" w:type="dxa"/>
            <w:vMerge/>
            <w:tcBorders>
              <w:bottom w:val="single" w:sz="4" w:space="0" w:color="auto"/>
            </w:tcBorders>
            <w:vAlign w:val="center"/>
          </w:tcPr>
          <w:p w:rsidR="0033746C" w:rsidRPr="00AB2CF1" w:rsidRDefault="0033746C" w:rsidP="00FE7096">
            <w:pPr>
              <w:bidi w:val="0"/>
              <w:jc w:val="center"/>
              <w:rPr>
                <w:rFonts w:asciiTheme="minorBidi" w:hAnsiTheme="minorBidi" w:cstheme="minorBidi"/>
                <w:sz w:val="24"/>
                <w:szCs w:val="24"/>
              </w:rPr>
            </w:pPr>
          </w:p>
        </w:tc>
        <w:tc>
          <w:tcPr>
            <w:tcW w:w="1694" w:type="dxa"/>
            <w:vMerge/>
            <w:tcBorders>
              <w:bottom w:val="single" w:sz="4" w:space="0" w:color="auto"/>
            </w:tcBorders>
            <w:vAlign w:val="center"/>
          </w:tcPr>
          <w:p w:rsidR="0033746C" w:rsidRPr="00AB2CF1" w:rsidRDefault="0033746C" w:rsidP="00FE7096">
            <w:pPr>
              <w:bidi w:val="0"/>
              <w:jc w:val="center"/>
              <w:rPr>
                <w:rFonts w:asciiTheme="minorBidi" w:hAnsiTheme="minorBidi" w:cstheme="minorBidi"/>
                <w:sz w:val="24"/>
                <w:szCs w:val="24"/>
              </w:rPr>
            </w:pPr>
          </w:p>
        </w:tc>
      </w:tr>
      <w:tr w:rsidR="00E849E3" w:rsidRPr="00AB2CF1" w:rsidTr="00A47201">
        <w:trPr>
          <w:trHeight w:val="340"/>
          <w:jc w:val="center"/>
        </w:trPr>
        <w:tc>
          <w:tcPr>
            <w:tcW w:w="1978" w:type="dxa"/>
            <w:tcBorders>
              <w:top w:val="single" w:sz="4" w:space="0" w:color="auto"/>
              <w:left w:val="single" w:sz="4" w:space="0" w:color="auto"/>
              <w:bottom w:val="nil"/>
              <w:right w:val="single" w:sz="4" w:space="0" w:color="auto"/>
            </w:tcBorders>
            <w:vAlign w:val="center"/>
          </w:tcPr>
          <w:p w:rsidR="00E849E3" w:rsidRPr="00AB2CF1" w:rsidRDefault="00E849E3"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4" w:type="dxa"/>
            <w:tcBorders>
              <w:top w:val="single" w:sz="4" w:space="0" w:color="auto"/>
              <w:left w:val="single" w:sz="4" w:space="0" w:color="auto"/>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b/>
                <w:bCs/>
                <w:sz w:val="18"/>
                <w:szCs w:val="18"/>
              </w:rPr>
              <w:t>1,001.0</w:t>
            </w:r>
          </w:p>
        </w:tc>
        <w:tc>
          <w:tcPr>
            <w:tcW w:w="1413" w:type="dxa"/>
            <w:tcBorders>
              <w:top w:val="single" w:sz="4" w:space="0" w:color="auto"/>
              <w:left w:val="nil"/>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1290" w:type="dxa"/>
            <w:tcBorders>
              <w:top w:val="single" w:sz="4" w:space="0" w:color="auto"/>
              <w:left w:val="nil"/>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1,149.4</w:t>
            </w:r>
          </w:p>
        </w:tc>
        <w:tc>
          <w:tcPr>
            <w:tcW w:w="1423" w:type="dxa"/>
            <w:tcBorders>
              <w:top w:val="single" w:sz="4" w:space="0" w:color="auto"/>
              <w:left w:val="nil"/>
              <w:bottom w:val="nil"/>
              <w:right w:val="nil"/>
            </w:tcBorders>
            <w:vAlign w:val="center"/>
          </w:tcPr>
          <w:p w:rsidR="00E849E3" w:rsidRPr="002D4260" w:rsidRDefault="009624CC"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14.8</w:t>
            </w:r>
          </w:p>
        </w:tc>
        <w:tc>
          <w:tcPr>
            <w:tcW w:w="1694" w:type="dxa"/>
            <w:tcBorders>
              <w:top w:val="single" w:sz="4" w:space="0" w:color="auto"/>
              <w:left w:val="nil"/>
              <w:bottom w:val="nil"/>
              <w:right w:val="single" w:sz="4" w:space="0" w:color="auto"/>
            </w:tcBorders>
            <w:vAlign w:val="center"/>
          </w:tcPr>
          <w:p w:rsidR="00E849E3" w:rsidRPr="002D4260" w:rsidRDefault="009624CC" w:rsidP="00987B6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34.5</w:t>
            </w:r>
          </w:p>
        </w:tc>
      </w:tr>
      <w:tr w:rsidR="00E849E3" w:rsidRPr="00AB2CF1" w:rsidTr="00A47201">
        <w:trPr>
          <w:trHeight w:val="340"/>
          <w:jc w:val="center"/>
        </w:trPr>
        <w:tc>
          <w:tcPr>
            <w:tcW w:w="1978" w:type="dxa"/>
            <w:tcBorders>
              <w:top w:val="nil"/>
              <w:left w:val="single" w:sz="4" w:space="0" w:color="auto"/>
              <w:bottom w:val="nil"/>
              <w:right w:val="single" w:sz="4" w:space="0" w:color="auto"/>
            </w:tcBorders>
            <w:vAlign w:val="center"/>
          </w:tcPr>
          <w:p w:rsidR="00E849E3" w:rsidRPr="00AB2CF1" w:rsidRDefault="00E849E3"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4" w:type="dxa"/>
            <w:tcBorders>
              <w:top w:val="nil"/>
              <w:left w:val="single" w:sz="4" w:space="0" w:color="auto"/>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796.1</w:t>
            </w:r>
          </w:p>
        </w:tc>
        <w:tc>
          <w:tcPr>
            <w:tcW w:w="1413" w:type="dxa"/>
            <w:tcBorders>
              <w:top w:val="nil"/>
              <w:left w:val="nil"/>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1290" w:type="dxa"/>
            <w:tcBorders>
              <w:top w:val="nil"/>
              <w:left w:val="nil"/>
              <w:bottom w:val="nil"/>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993.2</w:t>
            </w:r>
          </w:p>
        </w:tc>
        <w:tc>
          <w:tcPr>
            <w:tcW w:w="1423" w:type="dxa"/>
            <w:tcBorders>
              <w:top w:val="nil"/>
              <w:left w:val="nil"/>
              <w:bottom w:val="nil"/>
              <w:right w:val="nil"/>
            </w:tcBorders>
            <w:vAlign w:val="center"/>
          </w:tcPr>
          <w:p w:rsidR="00E849E3" w:rsidRPr="002D426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24.8</w:t>
            </w:r>
          </w:p>
        </w:tc>
        <w:tc>
          <w:tcPr>
            <w:tcW w:w="1694" w:type="dxa"/>
            <w:tcBorders>
              <w:top w:val="nil"/>
              <w:left w:val="nil"/>
              <w:bottom w:val="nil"/>
              <w:right w:val="single" w:sz="4" w:space="0" w:color="auto"/>
            </w:tcBorders>
            <w:vAlign w:val="center"/>
          </w:tcPr>
          <w:p w:rsidR="00E849E3" w:rsidRPr="002D426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45.5</w:t>
            </w:r>
          </w:p>
        </w:tc>
      </w:tr>
      <w:tr w:rsidR="00E849E3" w:rsidRPr="00AB2CF1" w:rsidTr="00A47201">
        <w:trPr>
          <w:trHeight w:val="340"/>
          <w:jc w:val="center"/>
        </w:trPr>
        <w:tc>
          <w:tcPr>
            <w:tcW w:w="1978" w:type="dxa"/>
            <w:tcBorders>
              <w:top w:val="nil"/>
              <w:left w:val="single" w:sz="4" w:space="0" w:color="auto"/>
              <w:bottom w:val="single" w:sz="4" w:space="0" w:color="auto"/>
              <w:right w:val="single" w:sz="4" w:space="0" w:color="auto"/>
            </w:tcBorders>
            <w:vAlign w:val="center"/>
          </w:tcPr>
          <w:p w:rsidR="00E849E3" w:rsidRPr="00AB2CF1" w:rsidRDefault="00E849E3"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4" w:type="dxa"/>
            <w:tcBorders>
              <w:top w:val="nil"/>
              <w:left w:val="single" w:sz="4" w:space="0" w:color="auto"/>
              <w:bottom w:val="single" w:sz="4" w:space="0" w:color="auto"/>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204.9</w:t>
            </w:r>
          </w:p>
        </w:tc>
        <w:tc>
          <w:tcPr>
            <w:tcW w:w="1413" w:type="dxa"/>
            <w:tcBorders>
              <w:top w:val="nil"/>
              <w:left w:val="nil"/>
              <w:bottom w:val="single" w:sz="4" w:space="0" w:color="auto"/>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1290" w:type="dxa"/>
            <w:tcBorders>
              <w:top w:val="nil"/>
              <w:left w:val="nil"/>
              <w:bottom w:val="single" w:sz="4" w:space="0" w:color="auto"/>
              <w:right w:val="nil"/>
            </w:tcBorders>
            <w:vAlign w:val="center"/>
          </w:tcPr>
          <w:p w:rsidR="00E849E3" w:rsidRPr="002D4260" w:rsidRDefault="00E849E3" w:rsidP="00507845">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156.2</w:t>
            </w:r>
          </w:p>
        </w:tc>
        <w:tc>
          <w:tcPr>
            <w:tcW w:w="1423" w:type="dxa"/>
            <w:tcBorders>
              <w:top w:val="nil"/>
              <w:left w:val="nil"/>
              <w:bottom w:val="single" w:sz="4" w:space="0" w:color="auto"/>
              <w:right w:val="nil"/>
            </w:tcBorders>
            <w:vAlign w:val="center"/>
          </w:tcPr>
          <w:p w:rsidR="00E849E3" w:rsidRPr="002D426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23.8-</w:t>
            </w:r>
          </w:p>
        </w:tc>
        <w:tc>
          <w:tcPr>
            <w:tcW w:w="1694" w:type="dxa"/>
            <w:tcBorders>
              <w:top w:val="nil"/>
              <w:left w:val="nil"/>
              <w:bottom w:val="single" w:sz="4" w:space="0" w:color="auto"/>
              <w:right w:val="single" w:sz="4" w:space="0" w:color="auto"/>
            </w:tcBorders>
            <w:vAlign w:val="center"/>
          </w:tcPr>
          <w:p w:rsidR="00E849E3" w:rsidRPr="002D426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8D2B6F" w:rsidRDefault="00FE7096" w:rsidP="00FE7096">
      <w:pPr>
        <w:bidi w:val="0"/>
        <w:jc w:val="both"/>
      </w:pPr>
    </w:p>
    <w:p w:rsidR="0033746C" w:rsidRPr="00AB2CF1" w:rsidRDefault="00C87EA1" w:rsidP="0033746C">
      <w:pPr>
        <w:bidi w:val="0"/>
        <w:jc w:val="both"/>
        <w:rPr>
          <w:rFonts w:asciiTheme="majorBidi" w:hAnsiTheme="majorBidi" w:cstheme="majorBidi"/>
          <w:sz w:val="24"/>
          <w:szCs w:val="24"/>
        </w:rPr>
      </w:pPr>
      <w:r w:rsidRPr="00AB2CF1">
        <w:rPr>
          <w:rFonts w:asciiTheme="majorBidi" w:hAnsiTheme="majorBidi" w:cstheme="majorBidi"/>
          <w:b/>
          <w:bCs/>
          <w:sz w:val="24"/>
          <w:szCs w:val="24"/>
        </w:rPr>
        <w:t xml:space="preserve">1.4 </w:t>
      </w:r>
      <w:r w:rsidR="0033746C" w:rsidRPr="00AB2CF1">
        <w:rPr>
          <w:rFonts w:asciiTheme="majorBidi" w:hAnsiTheme="majorBidi" w:cstheme="majorBidi"/>
          <w:b/>
          <w:bCs/>
          <w:sz w:val="24"/>
          <w:szCs w:val="24"/>
        </w:rPr>
        <w:t xml:space="preserve">Licensed </w:t>
      </w:r>
      <w:r w:rsidR="0033746C">
        <w:rPr>
          <w:rFonts w:asciiTheme="majorBidi" w:hAnsiTheme="majorBidi" w:cstheme="majorBidi"/>
          <w:b/>
          <w:bCs/>
          <w:sz w:val="24"/>
          <w:szCs w:val="24"/>
        </w:rPr>
        <w:t>B</w:t>
      </w:r>
      <w:r w:rsidR="0033746C" w:rsidRPr="00AB2CF1">
        <w:rPr>
          <w:rFonts w:asciiTheme="majorBidi" w:hAnsiTheme="majorBidi" w:cstheme="majorBidi"/>
          <w:b/>
          <w:bCs/>
          <w:sz w:val="24"/>
          <w:szCs w:val="24"/>
        </w:rPr>
        <w:t xml:space="preserve">oundary </w:t>
      </w:r>
      <w:r w:rsidR="0033746C">
        <w:rPr>
          <w:rFonts w:asciiTheme="majorBidi" w:hAnsiTheme="majorBidi" w:cstheme="majorBidi"/>
          <w:b/>
          <w:bCs/>
          <w:sz w:val="24"/>
          <w:szCs w:val="24"/>
        </w:rPr>
        <w:t>W</w:t>
      </w:r>
      <w:r w:rsidR="0033746C" w:rsidRPr="00AB2CF1">
        <w:rPr>
          <w:rFonts w:asciiTheme="majorBidi" w:hAnsiTheme="majorBidi" w:cstheme="majorBidi"/>
          <w:b/>
          <w:bCs/>
          <w:sz w:val="24"/>
          <w:szCs w:val="24"/>
        </w:rPr>
        <w:t>alls:</w:t>
      </w:r>
      <w:r w:rsidR="0033746C" w:rsidRPr="00AB2CF1">
        <w:rPr>
          <w:rFonts w:asciiTheme="majorBidi" w:hAnsiTheme="majorBidi" w:cstheme="majorBidi"/>
          <w:sz w:val="24"/>
          <w:szCs w:val="24"/>
        </w:rPr>
        <w:t xml:space="preserve"> The following table compares licenses issued for boundary walls in </w:t>
      </w:r>
      <w:r w:rsidR="0033746C">
        <w:rPr>
          <w:rFonts w:asciiTheme="majorBidi" w:hAnsiTheme="majorBidi" w:cstheme="majorBidi"/>
          <w:sz w:val="24"/>
          <w:szCs w:val="24"/>
        </w:rPr>
        <w:t>Palestine*</w:t>
      </w:r>
      <w:r w:rsidR="0033746C" w:rsidRPr="00AB2CF1">
        <w:rPr>
          <w:rFonts w:asciiTheme="majorBidi" w:hAnsiTheme="majorBidi" w:cstheme="majorBidi"/>
          <w:sz w:val="24"/>
          <w:szCs w:val="24"/>
        </w:rPr>
        <w:t xml:space="preserve"> for the </w:t>
      </w:r>
      <w:r w:rsidR="0033746C">
        <w:rPr>
          <w:rFonts w:cs="Times New Roman"/>
          <w:sz w:val="24"/>
          <w:szCs w:val="24"/>
        </w:rPr>
        <w:t>first</w:t>
      </w:r>
      <w:r w:rsidR="0033746C">
        <w:rPr>
          <w:rFonts w:asciiTheme="majorBidi" w:hAnsiTheme="majorBidi" w:cstheme="majorBidi"/>
          <w:sz w:val="16"/>
          <w:szCs w:val="16"/>
        </w:rPr>
        <w:t xml:space="preserve"> </w:t>
      </w:r>
      <w:r w:rsidR="0033746C">
        <w:rPr>
          <w:rFonts w:asciiTheme="majorBidi" w:hAnsiTheme="majorBidi" w:cstheme="majorBidi"/>
          <w:sz w:val="24"/>
          <w:szCs w:val="24"/>
        </w:rPr>
        <w:t>quarter</w:t>
      </w:r>
      <w:r w:rsidR="0033746C" w:rsidRPr="00AB2CF1">
        <w:rPr>
          <w:rFonts w:asciiTheme="majorBidi" w:hAnsiTheme="majorBidi" w:cstheme="majorBidi"/>
          <w:sz w:val="24"/>
          <w:szCs w:val="24"/>
        </w:rPr>
        <w:t xml:space="preserve"> of </w:t>
      </w:r>
      <w:r w:rsidR="0033746C">
        <w:rPr>
          <w:rFonts w:asciiTheme="majorBidi" w:hAnsiTheme="majorBidi" w:cstheme="majorBidi"/>
          <w:sz w:val="24"/>
          <w:szCs w:val="24"/>
        </w:rPr>
        <w:t>2014</w:t>
      </w:r>
      <w:r w:rsidR="0033746C" w:rsidRPr="00AB2CF1">
        <w:rPr>
          <w:rFonts w:asciiTheme="majorBidi" w:hAnsiTheme="majorBidi" w:cstheme="majorBidi"/>
          <w:sz w:val="24"/>
          <w:szCs w:val="24"/>
        </w:rPr>
        <w:t xml:space="preserve"> with the previous and corresponding</w:t>
      </w:r>
      <w:r w:rsidR="00F40EE3">
        <w:rPr>
          <w:rFonts w:asciiTheme="majorBidi" w:hAnsiTheme="majorBidi" w:cstheme="majorBidi"/>
          <w:sz w:val="24"/>
          <w:szCs w:val="24"/>
        </w:rPr>
        <w:t xml:space="preserve">    </w:t>
      </w:r>
      <w:r w:rsidR="0033746C" w:rsidRPr="00AB2CF1">
        <w:rPr>
          <w:rFonts w:asciiTheme="majorBidi" w:hAnsiTheme="majorBidi" w:cstheme="majorBidi"/>
          <w:sz w:val="24"/>
          <w:szCs w:val="24"/>
        </w:rPr>
        <w:t xml:space="preserve"> quarters</w:t>
      </w:r>
      <w:r w:rsidR="00F40EE3">
        <w:rPr>
          <w:rFonts w:asciiTheme="majorBidi" w:hAnsiTheme="majorBidi" w:cstheme="majorBidi"/>
          <w:sz w:val="24"/>
          <w:szCs w:val="24"/>
        </w:rPr>
        <w:t xml:space="preserve"> 2013</w:t>
      </w:r>
      <w:r w:rsidR="0033746C" w:rsidRPr="00AB2CF1">
        <w:rPr>
          <w:rFonts w:asciiTheme="majorBidi" w:hAnsiTheme="majorBidi" w:cstheme="majorBidi"/>
          <w:sz w:val="24"/>
          <w:szCs w:val="24"/>
        </w:rPr>
        <w:t>:</w:t>
      </w:r>
    </w:p>
    <w:p w:rsidR="00897DCD" w:rsidRPr="00AB2CF1" w:rsidRDefault="00897DCD" w:rsidP="0033746C">
      <w:pPr>
        <w:bidi w:val="0"/>
        <w:jc w:val="both"/>
        <w:rPr>
          <w:sz w:val="12"/>
          <w:szCs w:val="12"/>
        </w:rPr>
      </w:pPr>
    </w:p>
    <w:tbl>
      <w:tblPr>
        <w:tblStyle w:val="TableGrid"/>
        <w:tblW w:w="0" w:type="auto"/>
        <w:tblInd w:w="108" w:type="dxa"/>
        <w:tblLayout w:type="fixed"/>
        <w:tblLook w:val="04A0"/>
      </w:tblPr>
      <w:tblGrid>
        <w:gridCol w:w="3119"/>
        <w:gridCol w:w="1134"/>
        <w:gridCol w:w="992"/>
        <w:gridCol w:w="992"/>
        <w:gridCol w:w="1560"/>
        <w:gridCol w:w="1381"/>
      </w:tblGrid>
      <w:tr w:rsidR="0033746C" w:rsidRPr="00AB2CF1" w:rsidTr="00507845">
        <w:trPr>
          <w:trHeight w:val="340"/>
        </w:trPr>
        <w:tc>
          <w:tcPr>
            <w:tcW w:w="3119"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118" w:type="dxa"/>
            <w:gridSpan w:val="3"/>
            <w:vAlign w:val="center"/>
          </w:tcPr>
          <w:p w:rsidR="0033746C" w:rsidRPr="00AB2CF1" w:rsidRDefault="0033746C"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60" w:type="dxa"/>
            <w:vMerge w:val="restart"/>
            <w:vAlign w:val="center"/>
          </w:tcPr>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33746C" w:rsidRPr="00BD39D7" w:rsidRDefault="0033746C" w:rsidP="00F671D6">
            <w:pPr>
              <w:bidi w:val="0"/>
              <w:jc w:val="center"/>
              <w:rPr>
                <w:rFonts w:asciiTheme="minorBidi" w:hAnsiTheme="minorBidi" w:cstheme="minorBidi"/>
                <w:b/>
                <w:bCs/>
                <w:sz w:val="18"/>
                <w:szCs w:val="18"/>
              </w:rPr>
            </w:pPr>
            <w:r>
              <w:rPr>
                <w:rFonts w:asciiTheme="minorBidi" w:hAnsiTheme="minorBidi" w:cstheme="minorBidi"/>
                <w:b/>
                <w:bCs/>
                <w:sz w:val="18"/>
                <w:szCs w:val="18"/>
              </w:rPr>
              <w:t>first quarter</w:t>
            </w:r>
            <w:r w:rsidRPr="00BD39D7">
              <w:rPr>
                <w:rFonts w:asciiTheme="minorBidi" w:hAnsiTheme="minorBidi" w:cstheme="minorBidi"/>
                <w:b/>
                <w:bCs/>
                <w:sz w:val="18"/>
                <w:szCs w:val="18"/>
              </w:rPr>
              <w:t xml:space="preserve"> </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381" w:type="dxa"/>
            <w:vMerge w:val="restart"/>
            <w:vAlign w:val="center"/>
          </w:tcPr>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F671D6">
            <w:pPr>
              <w:bidi w:val="0"/>
              <w:jc w:val="center"/>
              <w:rPr>
                <w:rFonts w:asciiTheme="minorBidi" w:hAnsiTheme="minorBidi" w:cstheme="minorBidi"/>
                <w:b/>
                <w:bCs/>
                <w:sz w:val="18"/>
                <w:szCs w:val="18"/>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r>
      <w:tr w:rsidR="0033746C" w:rsidRPr="00AB2CF1" w:rsidTr="00507845">
        <w:trPr>
          <w:trHeight w:val="340"/>
        </w:trPr>
        <w:tc>
          <w:tcPr>
            <w:tcW w:w="3119" w:type="dxa"/>
            <w:vMerge/>
            <w:tcBorders>
              <w:bottom w:val="single" w:sz="4" w:space="0" w:color="auto"/>
            </w:tcBorders>
          </w:tcPr>
          <w:p w:rsidR="0033746C" w:rsidRPr="00AB2CF1" w:rsidRDefault="0033746C" w:rsidP="00FE7096">
            <w:pPr>
              <w:bidi w:val="0"/>
              <w:jc w:val="lowKashida"/>
              <w:rPr>
                <w:rFonts w:asciiTheme="minorBidi" w:hAnsiTheme="minorBidi" w:cstheme="minorBidi"/>
                <w:sz w:val="24"/>
                <w:szCs w:val="24"/>
              </w:rPr>
            </w:pPr>
          </w:p>
        </w:tc>
        <w:tc>
          <w:tcPr>
            <w:tcW w:w="1134"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lang w:val="fr-FR"/>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33746C" w:rsidRPr="00BD39D7" w:rsidRDefault="0033746C" w:rsidP="00F671D6">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rPr>
            </w:pPr>
            <w:r>
              <w:rPr>
                <w:rFonts w:asciiTheme="minorBidi" w:hAnsiTheme="minorBidi" w:cstheme="minorBidi"/>
                <w:sz w:val="18"/>
                <w:szCs w:val="18"/>
              </w:rPr>
              <w:t>fourth</w:t>
            </w:r>
            <w:r>
              <w:rPr>
                <w:rFonts w:cs="Times New Roman"/>
                <w:sz w:val="24"/>
                <w:szCs w:val="24"/>
              </w:rPr>
              <w:t xml:space="preserve"> </w:t>
            </w:r>
            <w:r>
              <w:rPr>
                <w:rFonts w:asciiTheme="minorBidi" w:hAnsiTheme="minorBidi" w:cstheme="minorBidi"/>
                <w:sz w:val="18"/>
                <w:szCs w:val="18"/>
              </w:rPr>
              <w:t>quarter</w:t>
            </w:r>
          </w:p>
          <w:p w:rsidR="0033746C" w:rsidRPr="003C0AE5" w:rsidRDefault="0033746C" w:rsidP="00F671D6">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992" w:type="dxa"/>
            <w:tcBorders>
              <w:bottom w:val="single" w:sz="4" w:space="0" w:color="auto"/>
            </w:tcBorders>
            <w:vAlign w:val="center"/>
          </w:tcPr>
          <w:p w:rsidR="0033746C" w:rsidRPr="00BD39D7" w:rsidRDefault="0033746C" w:rsidP="00F671D6">
            <w:pPr>
              <w:bidi w:val="0"/>
              <w:jc w:val="center"/>
              <w:rPr>
                <w:rFonts w:asciiTheme="minorBidi" w:hAnsiTheme="minorBidi" w:cstheme="minorBidi"/>
                <w:sz w:val="18"/>
                <w:szCs w:val="18"/>
                <w:rtl/>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33746C" w:rsidRPr="00BD39D7" w:rsidRDefault="0033746C" w:rsidP="00F671D6">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560" w:type="dxa"/>
            <w:vMerge/>
            <w:tcBorders>
              <w:bottom w:val="single" w:sz="4" w:space="0" w:color="auto"/>
            </w:tcBorders>
            <w:vAlign w:val="center"/>
          </w:tcPr>
          <w:p w:rsidR="0033746C" w:rsidRPr="00AB2CF1" w:rsidRDefault="0033746C"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33746C" w:rsidRPr="00AB2CF1" w:rsidRDefault="0033746C" w:rsidP="00FE7096">
            <w:pPr>
              <w:bidi w:val="0"/>
              <w:jc w:val="center"/>
              <w:rPr>
                <w:rFonts w:asciiTheme="minorBidi" w:hAnsiTheme="minorBidi" w:cstheme="minorBidi"/>
                <w:sz w:val="24"/>
                <w:szCs w:val="24"/>
              </w:rPr>
            </w:pPr>
          </w:p>
        </w:tc>
      </w:tr>
      <w:tr w:rsidR="00E849E3" w:rsidRPr="00AB2CF1" w:rsidTr="00507845">
        <w:trPr>
          <w:trHeight w:val="340"/>
        </w:trPr>
        <w:tc>
          <w:tcPr>
            <w:tcW w:w="3119" w:type="dxa"/>
            <w:tcBorders>
              <w:top w:val="single" w:sz="4" w:space="0" w:color="auto"/>
              <w:left w:val="single" w:sz="4" w:space="0" w:color="auto"/>
              <w:bottom w:val="nil"/>
              <w:right w:val="single" w:sz="4" w:space="0" w:color="auto"/>
            </w:tcBorders>
            <w:vAlign w:val="center"/>
          </w:tcPr>
          <w:p w:rsidR="00E849E3" w:rsidRPr="00AB2CF1" w:rsidRDefault="00E849E3"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134" w:type="dxa"/>
            <w:tcBorders>
              <w:top w:val="single" w:sz="4" w:space="0" w:color="auto"/>
              <w:left w:val="single" w:sz="4" w:space="0" w:color="auto"/>
              <w:bottom w:val="nil"/>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69</w:t>
            </w:r>
          </w:p>
        </w:tc>
        <w:tc>
          <w:tcPr>
            <w:tcW w:w="992" w:type="dxa"/>
            <w:tcBorders>
              <w:top w:val="single" w:sz="4" w:space="0" w:color="auto"/>
              <w:left w:val="nil"/>
              <w:bottom w:val="nil"/>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100</w:t>
            </w:r>
          </w:p>
        </w:tc>
        <w:tc>
          <w:tcPr>
            <w:tcW w:w="992" w:type="dxa"/>
            <w:tcBorders>
              <w:top w:val="single" w:sz="4" w:space="0" w:color="auto"/>
              <w:left w:val="nil"/>
              <w:bottom w:val="nil"/>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1560" w:type="dxa"/>
            <w:tcBorders>
              <w:top w:val="single" w:sz="4" w:space="0" w:color="auto"/>
              <w:left w:val="nil"/>
              <w:bottom w:val="nil"/>
              <w:right w:val="nil"/>
            </w:tcBorders>
            <w:vAlign w:val="center"/>
          </w:tcPr>
          <w:p w:rsidR="00E849E3" w:rsidRPr="001C57F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27.5</w:t>
            </w:r>
          </w:p>
        </w:tc>
        <w:tc>
          <w:tcPr>
            <w:tcW w:w="1381" w:type="dxa"/>
            <w:tcBorders>
              <w:top w:val="single" w:sz="4" w:space="0" w:color="auto"/>
              <w:left w:val="nil"/>
              <w:bottom w:val="nil"/>
              <w:right w:val="single" w:sz="4" w:space="0" w:color="auto"/>
            </w:tcBorders>
            <w:vAlign w:val="center"/>
          </w:tcPr>
          <w:p w:rsidR="00E849E3" w:rsidRPr="001C57F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12.0-</w:t>
            </w:r>
          </w:p>
        </w:tc>
      </w:tr>
      <w:tr w:rsidR="00E849E3" w:rsidRPr="00AB2CF1" w:rsidTr="00507845">
        <w:trPr>
          <w:trHeight w:val="340"/>
        </w:trPr>
        <w:tc>
          <w:tcPr>
            <w:tcW w:w="3119" w:type="dxa"/>
            <w:tcBorders>
              <w:top w:val="nil"/>
              <w:left w:val="single" w:sz="4" w:space="0" w:color="auto"/>
              <w:bottom w:val="single" w:sz="4" w:space="0" w:color="auto"/>
              <w:right w:val="single" w:sz="4" w:space="0" w:color="auto"/>
            </w:tcBorders>
            <w:vAlign w:val="center"/>
          </w:tcPr>
          <w:p w:rsidR="00E849E3" w:rsidRPr="00AB2CF1" w:rsidRDefault="00E849E3"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134" w:type="dxa"/>
            <w:tcBorders>
              <w:top w:val="nil"/>
              <w:left w:val="single" w:sz="4" w:space="0" w:color="auto"/>
              <w:bottom w:val="single" w:sz="4" w:space="0" w:color="auto"/>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c>
          <w:tcPr>
            <w:tcW w:w="992" w:type="dxa"/>
            <w:tcBorders>
              <w:top w:val="nil"/>
              <w:left w:val="nil"/>
              <w:bottom w:val="single" w:sz="4" w:space="0" w:color="auto"/>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w:t>
            </w:r>
          </w:p>
        </w:tc>
        <w:tc>
          <w:tcPr>
            <w:tcW w:w="992" w:type="dxa"/>
            <w:tcBorders>
              <w:top w:val="nil"/>
              <w:left w:val="nil"/>
              <w:bottom w:val="single" w:sz="4" w:space="0" w:color="auto"/>
              <w:right w:val="nil"/>
            </w:tcBorders>
            <w:vAlign w:val="center"/>
          </w:tcPr>
          <w:p w:rsidR="00E849E3" w:rsidRPr="001C57F0" w:rsidRDefault="00E849E3" w:rsidP="0068398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7.3</w:t>
            </w:r>
          </w:p>
        </w:tc>
        <w:tc>
          <w:tcPr>
            <w:tcW w:w="1560" w:type="dxa"/>
            <w:tcBorders>
              <w:top w:val="nil"/>
              <w:left w:val="nil"/>
              <w:bottom w:val="single" w:sz="4" w:space="0" w:color="auto"/>
              <w:right w:val="nil"/>
            </w:tcBorders>
            <w:vAlign w:val="center"/>
          </w:tcPr>
          <w:p w:rsidR="00E849E3" w:rsidRPr="001C57F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18.9-</w:t>
            </w:r>
          </w:p>
        </w:tc>
        <w:tc>
          <w:tcPr>
            <w:tcW w:w="1381" w:type="dxa"/>
            <w:tcBorders>
              <w:top w:val="nil"/>
              <w:left w:val="nil"/>
              <w:bottom w:val="single" w:sz="4" w:space="0" w:color="auto"/>
              <w:right w:val="single" w:sz="4" w:space="0" w:color="auto"/>
            </w:tcBorders>
            <w:vAlign w:val="center"/>
          </w:tcPr>
          <w:p w:rsidR="00E849E3" w:rsidRPr="001C57F0" w:rsidRDefault="00E849E3"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16.1-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8A0D39" w:rsidP="00EA710E">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33746C" w:rsidRPr="00AB2CF1" w:rsidRDefault="009F67CA" w:rsidP="0033746C">
      <w:pPr>
        <w:bidi w:val="0"/>
        <w:ind w:right="-1"/>
        <w:jc w:val="lowKashida"/>
        <w:rPr>
          <w:sz w:val="24"/>
          <w:szCs w:val="24"/>
        </w:rPr>
      </w:pPr>
      <w:r w:rsidRPr="00AB2CF1">
        <w:rPr>
          <w:b/>
          <w:bCs/>
          <w:sz w:val="24"/>
          <w:szCs w:val="24"/>
        </w:rPr>
        <w:t xml:space="preserve">1.5 </w:t>
      </w:r>
      <w:r w:rsidR="0033746C" w:rsidRPr="00AB2CF1">
        <w:rPr>
          <w:b/>
          <w:bCs/>
          <w:sz w:val="24"/>
          <w:szCs w:val="24"/>
        </w:rPr>
        <w:t xml:space="preserve">Number and </w:t>
      </w:r>
      <w:r w:rsidR="0033746C">
        <w:rPr>
          <w:b/>
          <w:bCs/>
          <w:sz w:val="24"/>
          <w:szCs w:val="24"/>
        </w:rPr>
        <w:t>A</w:t>
      </w:r>
      <w:r w:rsidR="0033746C" w:rsidRPr="00AB2CF1">
        <w:rPr>
          <w:b/>
          <w:bCs/>
          <w:sz w:val="24"/>
          <w:szCs w:val="24"/>
        </w:rPr>
        <w:t xml:space="preserve">rea of </w:t>
      </w:r>
      <w:r w:rsidR="0033746C">
        <w:rPr>
          <w:b/>
          <w:bCs/>
          <w:sz w:val="24"/>
          <w:szCs w:val="24"/>
        </w:rPr>
        <w:t>L</w:t>
      </w:r>
      <w:r w:rsidR="0033746C" w:rsidRPr="00AB2CF1">
        <w:rPr>
          <w:b/>
          <w:bCs/>
          <w:sz w:val="24"/>
          <w:szCs w:val="24"/>
        </w:rPr>
        <w:t xml:space="preserve">icensed </w:t>
      </w:r>
      <w:r w:rsidR="0033746C">
        <w:rPr>
          <w:b/>
          <w:bCs/>
          <w:sz w:val="24"/>
          <w:szCs w:val="24"/>
        </w:rPr>
        <w:t>D</w:t>
      </w:r>
      <w:r w:rsidR="0033746C" w:rsidRPr="00AB2CF1">
        <w:rPr>
          <w:b/>
          <w:bCs/>
          <w:sz w:val="24"/>
          <w:szCs w:val="24"/>
        </w:rPr>
        <w:t>wellings:</w:t>
      </w:r>
      <w:r w:rsidR="0033746C" w:rsidRPr="00AB2CF1">
        <w:rPr>
          <w:sz w:val="24"/>
          <w:szCs w:val="24"/>
        </w:rPr>
        <w:t xml:space="preserve"> The following table compares the number and total area of licensed dwellings in </w:t>
      </w:r>
      <w:r w:rsidR="0033746C">
        <w:rPr>
          <w:sz w:val="24"/>
          <w:szCs w:val="24"/>
        </w:rPr>
        <w:t>Palestine*</w:t>
      </w:r>
      <w:r w:rsidR="0033746C" w:rsidRPr="00AB2CF1">
        <w:rPr>
          <w:sz w:val="24"/>
          <w:szCs w:val="24"/>
        </w:rPr>
        <w:t xml:space="preserve"> for the </w:t>
      </w:r>
      <w:r w:rsidR="0033746C">
        <w:rPr>
          <w:rFonts w:cs="Times New Roman"/>
          <w:sz w:val="24"/>
          <w:szCs w:val="24"/>
        </w:rPr>
        <w:t>first</w:t>
      </w:r>
      <w:r w:rsidR="0033746C">
        <w:rPr>
          <w:rFonts w:asciiTheme="majorBidi" w:hAnsiTheme="majorBidi" w:cstheme="majorBidi"/>
          <w:sz w:val="16"/>
          <w:szCs w:val="16"/>
        </w:rPr>
        <w:t xml:space="preserve"> </w:t>
      </w:r>
      <w:r w:rsidR="0033746C">
        <w:rPr>
          <w:rFonts w:asciiTheme="majorBidi" w:hAnsiTheme="majorBidi" w:cstheme="majorBidi"/>
          <w:sz w:val="24"/>
          <w:szCs w:val="24"/>
        </w:rPr>
        <w:t>quarter</w:t>
      </w:r>
      <w:r w:rsidR="0033746C" w:rsidRPr="00AB2CF1">
        <w:rPr>
          <w:rFonts w:cs="Times New Roman"/>
          <w:sz w:val="24"/>
          <w:szCs w:val="24"/>
        </w:rPr>
        <w:t xml:space="preserve"> of </w:t>
      </w:r>
      <w:r w:rsidR="0033746C">
        <w:rPr>
          <w:rFonts w:cs="Times New Roman"/>
          <w:sz w:val="24"/>
          <w:szCs w:val="24"/>
        </w:rPr>
        <w:t>2014</w:t>
      </w:r>
      <w:r w:rsidR="0033746C" w:rsidRPr="00AB2CF1">
        <w:rPr>
          <w:rFonts w:cs="Times New Roman"/>
          <w:sz w:val="24"/>
          <w:szCs w:val="24"/>
        </w:rPr>
        <w:t xml:space="preserve"> </w:t>
      </w:r>
      <w:r w:rsidR="0033746C" w:rsidRPr="00AB2CF1">
        <w:rPr>
          <w:sz w:val="24"/>
          <w:szCs w:val="24"/>
        </w:rPr>
        <w:t>with the previous and corresponding quarters</w:t>
      </w:r>
      <w:r w:rsidR="00F40EE3">
        <w:rPr>
          <w:sz w:val="24"/>
          <w:szCs w:val="24"/>
        </w:rPr>
        <w:t xml:space="preserve"> 2013</w:t>
      </w:r>
      <w:r w:rsidR="0033746C" w:rsidRPr="00AB2CF1">
        <w:rPr>
          <w:sz w:val="24"/>
          <w:szCs w:val="24"/>
        </w:rPr>
        <w:t>:</w:t>
      </w:r>
    </w:p>
    <w:p w:rsidR="00434A05" w:rsidRPr="00AB2CF1" w:rsidRDefault="00434A05" w:rsidP="0033746C">
      <w:pPr>
        <w:bidi w:val="0"/>
        <w:ind w:right="-1"/>
        <w:jc w:val="lowKashida"/>
        <w:rPr>
          <w:sz w:val="12"/>
          <w:szCs w:val="12"/>
        </w:rPr>
      </w:pPr>
    </w:p>
    <w:tbl>
      <w:tblPr>
        <w:tblStyle w:val="TableGrid"/>
        <w:tblW w:w="9296" w:type="dxa"/>
        <w:tblInd w:w="108" w:type="dxa"/>
        <w:tblLook w:val="04A0"/>
      </w:tblPr>
      <w:tblGrid>
        <w:gridCol w:w="3119"/>
        <w:gridCol w:w="1134"/>
        <w:gridCol w:w="992"/>
        <w:gridCol w:w="1037"/>
        <w:gridCol w:w="1615"/>
        <w:gridCol w:w="1399"/>
      </w:tblGrid>
      <w:tr w:rsidR="0033746C" w:rsidRPr="00AB2CF1" w:rsidTr="00507845">
        <w:trPr>
          <w:trHeight w:val="432"/>
        </w:trPr>
        <w:tc>
          <w:tcPr>
            <w:tcW w:w="3119"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163" w:type="dxa"/>
            <w:gridSpan w:val="3"/>
            <w:vAlign w:val="center"/>
          </w:tcPr>
          <w:p w:rsidR="0033746C" w:rsidRPr="00AB2CF1" w:rsidRDefault="0033746C"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615" w:type="dxa"/>
            <w:vMerge w:val="restart"/>
            <w:vAlign w:val="center"/>
          </w:tcPr>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 xml:space="preserve">first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c>
          <w:tcPr>
            <w:tcW w:w="1399" w:type="dxa"/>
            <w:vMerge w:val="restart"/>
            <w:vAlign w:val="center"/>
          </w:tcPr>
          <w:p w:rsidR="0033746C" w:rsidRPr="00BD39D7" w:rsidRDefault="0033746C" w:rsidP="00F671D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 xml:space="preserve">first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r>
      <w:tr w:rsidR="0033746C" w:rsidRPr="00AB2CF1" w:rsidTr="00507845">
        <w:trPr>
          <w:trHeight w:val="378"/>
        </w:trPr>
        <w:tc>
          <w:tcPr>
            <w:tcW w:w="3119" w:type="dxa"/>
            <w:vMerge/>
            <w:tcBorders>
              <w:bottom w:val="single" w:sz="4" w:space="0" w:color="auto"/>
            </w:tcBorders>
          </w:tcPr>
          <w:p w:rsidR="0033746C" w:rsidRPr="00AB2CF1" w:rsidRDefault="0033746C" w:rsidP="00FE7096">
            <w:pPr>
              <w:bidi w:val="0"/>
              <w:jc w:val="lowKashida"/>
              <w:rPr>
                <w:rFonts w:asciiTheme="minorBidi" w:hAnsiTheme="minorBidi" w:cstheme="minorBidi"/>
                <w:sz w:val="24"/>
                <w:szCs w:val="24"/>
              </w:rPr>
            </w:pPr>
          </w:p>
        </w:tc>
        <w:tc>
          <w:tcPr>
            <w:tcW w:w="1134"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lang w:val="fr-FR"/>
              </w:rPr>
            </w:pPr>
            <w:r>
              <w:rPr>
                <w:rFonts w:asciiTheme="minorBidi" w:hAnsiTheme="minorBidi" w:cstheme="minorBidi"/>
                <w:sz w:val="18"/>
                <w:szCs w:val="18"/>
              </w:rPr>
              <w:t xml:space="preserve">first </w:t>
            </w:r>
            <w:r>
              <w:rPr>
                <w:rFonts w:asciiTheme="majorBidi" w:hAnsiTheme="majorBidi" w:cstheme="majorBidi"/>
                <w:sz w:val="16"/>
                <w:szCs w:val="16"/>
              </w:rPr>
              <w:t xml:space="preserve"> </w:t>
            </w:r>
            <w:r>
              <w:rPr>
                <w:rFonts w:asciiTheme="minorBidi" w:hAnsiTheme="minorBidi" w:cstheme="minorBidi"/>
                <w:sz w:val="18"/>
                <w:szCs w:val="18"/>
              </w:rPr>
              <w:t>quarter</w:t>
            </w:r>
          </w:p>
          <w:p w:rsidR="0033746C" w:rsidRPr="00BD39D7" w:rsidRDefault="0033746C" w:rsidP="00F671D6">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33746C" w:rsidRPr="00BD39D7" w:rsidRDefault="0033746C" w:rsidP="00F671D6">
            <w:pPr>
              <w:jc w:val="center"/>
              <w:rPr>
                <w:rFonts w:asciiTheme="minorBidi" w:hAnsiTheme="minorBidi" w:cstheme="minorBidi"/>
                <w:sz w:val="18"/>
                <w:szCs w:val="18"/>
              </w:rPr>
            </w:pPr>
            <w:r>
              <w:rPr>
                <w:rFonts w:asciiTheme="minorBidi" w:hAnsiTheme="minorBidi" w:cstheme="minorBidi"/>
                <w:sz w:val="18"/>
                <w:szCs w:val="18"/>
              </w:rPr>
              <w:t>fourth</w:t>
            </w:r>
            <w:r>
              <w:rPr>
                <w:rFonts w:cs="Times New Roman"/>
                <w:sz w:val="24"/>
                <w:szCs w:val="24"/>
              </w:rPr>
              <w:t xml:space="preserve"> </w:t>
            </w:r>
            <w:r>
              <w:rPr>
                <w:rFonts w:asciiTheme="minorBidi" w:hAnsiTheme="minorBidi" w:cstheme="minorBidi"/>
                <w:sz w:val="18"/>
                <w:szCs w:val="18"/>
              </w:rPr>
              <w:t>quarter</w:t>
            </w:r>
          </w:p>
          <w:p w:rsidR="0033746C" w:rsidRPr="003C0AE5" w:rsidRDefault="0033746C" w:rsidP="00F671D6">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1037" w:type="dxa"/>
            <w:tcBorders>
              <w:bottom w:val="single" w:sz="4" w:space="0" w:color="auto"/>
            </w:tcBorders>
            <w:vAlign w:val="center"/>
          </w:tcPr>
          <w:p w:rsidR="0033746C" w:rsidRPr="00BD39D7" w:rsidRDefault="0033746C" w:rsidP="00F671D6">
            <w:pPr>
              <w:bidi w:val="0"/>
              <w:jc w:val="center"/>
              <w:rPr>
                <w:rFonts w:asciiTheme="minorBidi" w:hAnsiTheme="minorBidi" w:cstheme="minorBidi"/>
                <w:sz w:val="18"/>
                <w:szCs w:val="18"/>
                <w:rtl/>
              </w:rPr>
            </w:pPr>
            <w:r>
              <w:rPr>
                <w:rFonts w:asciiTheme="minorBidi" w:hAnsiTheme="minorBidi" w:cstheme="minorBidi"/>
                <w:sz w:val="18"/>
                <w:szCs w:val="18"/>
              </w:rPr>
              <w:t>first</w:t>
            </w:r>
            <w:r>
              <w:rPr>
                <w:rFonts w:asciiTheme="majorBidi" w:hAnsiTheme="majorBidi" w:cstheme="majorBidi"/>
                <w:sz w:val="16"/>
                <w:szCs w:val="16"/>
              </w:rPr>
              <w:t xml:space="preserve"> </w:t>
            </w:r>
            <w:r>
              <w:rPr>
                <w:rFonts w:asciiTheme="minorBidi" w:hAnsiTheme="minorBidi" w:cstheme="minorBidi"/>
                <w:sz w:val="18"/>
                <w:szCs w:val="18"/>
              </w:rPr>
              <w:t>quarter</w:t>
            </w:r>
          </w:p>
          <w:p w:rsidR="0033746C" w:rsidRPr="00BD39D7" w:rsidRDefault="0033746C" w:rsidP="00F671D6">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615" w:type="dxa"/>
            <w:vMerge/>
            <w:tcBorders>
              <w:bottom w:val="single" w:sz="4" w:space="0" w:color="auto"/>
            </w:tcBorders>
          </w:tcPr>
          <w:p w:rsidR="0033746C" w:rsidRPr="00AB2CF1" w:rsidRDefault="0033746C" w:rsidP="00FE7096">
            <w:pPr>
              <w:bidi w:val="0"/>
              <w:jc w:val="lowKashida"/>
              <w:rPr>
                <w:rFonts w:asciiTheme="minorBidi" w:hAnsiTheme="minorBidi" w:cstheme="minorBidi"/>
                <w:sz w:val="24"/>
                <w:szCs w:val="24"/>
              </w:rPr>
            </w:pPr>
          </w:p>
        </w:tc>
        <w:tc>
          <w:tcPr>
            <w:tcW w:w="1399" w:type="dxa"/>
            <w:vMerge/>
            <w:tcBorders>
              <w:bottom w:val="single" w:sz="4" w:space="0" w:color="auto"/>
            </w:tcBorders>
          </w:tcPr>
          <w:p w:rsidR="0033746C" w:rsidRPr="00AB2CF1" w:rsidRDefault="0033746C" w:rsidP="00FE7096">
            <w:pPr>
              <w:bidi w:val="0"/>
              <w:jc w:val="lowKashida"/>
              <w:rPr>
                <w:rFonts w:asciiTheme="minorBidi" w:hAnsiTheme="minorBidi" w:cstheme="minorBidi"/>
                <w:sz w:val="24"/>
                <w:szCs w:val="24"/>
              </w:rPr>
            </w:pPr>
          </w:p>
        </w:tc>
      </w:tr>
      <w:tr w:rsidR="00C76E45" w:rsidRPr="00AB2CF1" w:rsidTr="00507845">
        <w:trPr>
          <w:trHeight w:val="378"/>
        </w:trPr>
        <w:tc>
          <w:tcPr>
            <w:tcW w:w="3119" w:type="dxa"/>
            <w:tcBorders>
              <w:top w:val="single" w:sz="4" w:space="0" w:color="auto"/>
              <w:left w:val="single" w:sz="4" w:space="0" w:color="auto"/>
              <w:bottom w:val="nil"/>
              <w:right w:val="single" w:sz="4" w:space="0" w:color="auto"/>
            </w:tcBorders>
            <w:vAlign w:val="center"/>
          </w:tcPr>
          <w:p w:rsidR="00C76E45" w:rsidRPr="00AB2CF1" w:rsidRDefault="00C76E45"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134" w:type="dxa"/>
            <w:tcBorders>
              <w:top w:val="single" w:sz="4" w:space="0" w:color="auto"/>
              <w:left w:val="single" w:sz="4" w:space="0" w:color="auto"/>
              <w:bottom w:val="nil"/>
              <w:right w:val="nil"/>
            </w:tcBorders>
            <w:vAlign w:val="center"/>
          </w:tcPr>
          <w:p w:rsidR="00C76E45" w:rsidRPr="00A8090F" w:rsidRDefault="00C76E45" w:rsidP="0050784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992" w:type="dxa"/>
            <w:tcBorders>
              <w:top w:val="single" w:sz="4" w:space="0" w:color="auto"/>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2,927</w:t>
            </w:r>
          </w:p>
        </w:tc>
        <w:tc>
          <w:tcPr>
            <w:tcW w:w="1037" w:type="dxa"/>
            <w:tcBorders>
              <w:top w:val="single" w:sz="4" w:space="0" w:color="auto"/>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3,804</w:t>
            </w:r>
          </w:p>
        </w:tc>
        <w:tc>
          <w:tcPr>
            <w:tcW w:w="1615" w:type="dxa"/>
            <w:tcBorders>
              <w:top w:val="single" w:sz="4" w:space="0" w:color="auto"/>
              <w:left w:val="nil"/>
              <w:bottom w:val="nil"/>
              <w:right w:val="nil"/>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19.9</w:t>
            </w:r>
          </w:p>
        </w:tc>
        <w:tc>
          <w:tcPr>
            <w:tcW w:w="1399" w:type="dxa"/>
            <w:tcBorders>
              <w:top w:val="single" w:sz="4" w:space="0" w:color="auto"/>
              <w:left w:val="nil"/>
              <w:bottom w:val="nil"/>
              <w:right w:val="single" w:sz="4" w:space="0" w:color="auto"/>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30.0</w:t>
            </w:r>
          </w:p>
        </w:tc>
      </w:tr>
      <w:tr w:rsidR="00C76E45" w:rsidRPr="00AB2CF1" w:rsidTr="00507845">
        <w:trPr>
          <w:trHeight w:val="378"/>
        </w:trPr>
        <w:tc>
          <w:tcPr>
            <w:tcW w:w="3119" w:type="dxa"/>
            <w:tcBorders>
              <w:top w:val="nil"/>
              <w:left w:val="single" w:sz="4" w:space="0" w:color="auto"/>
              <w:bottom w:val="nil"/>
              <w:right w:val="single" w:sz="4" w:space="0" w:color="auto"/>
            </w:tcBorders>
            <w:vAlign w:val="center"/>
          </w:tcPr>
          <w:p w:rsidR="00C76E45" w:rsidRPr="00AB2CF1" w:rsidRDefault="00C76E45"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134" w:type="dxa"/>
            <w:tcBorders>
              <w:top w:val="nil"/>
              <w:left w:val="single" w:sz="4" w:space="0" w:color="auto"/>
              <w:bottom w:val="nil"/>
              <w:right w:val="nil"/>
            </w:tcBorders>
            <w:vAlign w:val="center"/>
          </w:tcPr>
          <w:p w:rsidR="00C76E45" w:rsidRPr="00A8090F" w:rsidRDefault="00C76E45" w:rsidP="0050784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541.4</w:t>
            </w:r>
          </w:p>
        </w:tc>
        <w:tc>
          <w:tcPr>
            <w:tcW w:w="992" w:type="dxa"/>
            <w:tcBorders>
              <w:top w:val="nil"/>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508.0</w:t>
            </w:r>
          </w:p>
        </w:tc>
        <w:tc>
          <w:tcPr>
            <w:tcW w:w="1037" w:type="dxa"/>
            <w:tcBorders>
              <w:top w:val="nil"/>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686.5</w:t>
            </w:r>
          </w:p>
        </w:tc>
        <w:tc>
          <w:tcPr>
            <w:tcW w:w="1615" w:type="dxa"/>
            <w:tcBorders>
              <w:top w:val="nil"/>
              <w:left w:val="nil"/>
              <w:bottom w:val="nil"/>
              <w:right w:val="nil"/>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26.8</w:t>
            </w:r>
          </w:p>
        </w:tc>
        <w:tc>
          <w:tcPr>
            <w:tcW w:w="1399" w:type="dxa"/>
            <w:tcBorders>
              <w:top w:val="nil"/>
              <w:left w:val="nil"/>
              <w:bottom w:val="nil"/>
              <w:right w:val="single" w:sz="4" w:space="0" w:color="auto"/>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35.1</w:t>
            </w:r>
          </w:p>
        </w:tc>
      </w:tr>
      <w:tr w:rsidR="00C76E45" w:rsidRPr="00AB2CF1" w:rsidTr="00507845">
        <w:trPr>
          <w:trHeight w:val="378"/>
        </w:trPr>
        <w:tc>
          <w:tcPr>
            <w:tcW w:w="3119" w:type="dxa"/>
            <w:tcBorders>
              <w:top w:val="nil"/>
              <w:left w:val="single" w:sz="4" w:space="0" w:color="auto"/>
              <w:bottom w:val="nil"/>
              <w:right w:val="single" w:sz="4" w:space="0" w:color="auto"/>
            </w:tcBorders>
            <w:vAlign w:val="center"/>
          </w:tcPr>
          <w:p w:rsidR="00C76E45" w:rsidRPr="00AB2CF1" w:rsidRDefault="00C76E45"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134" w:type="dxa"/>
            <w:tcBorders>
              <w:top w:val="nil"/>
              <w:left w:val="single" w:sz="4" w:space="0" w:color="auto"/>
              <w:bottom w:val="nil"/>
              <w:right w:val="nil"/>
            </w:tcBorders>
            <w:vAlign w:val="center"/>
          </w:tcPr>
          <w:p w:rsidR="00C76E45" w:rsidRPr="00A8090F" w:rsidRDefault="00C76E45" w:rsidP="0050784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992" w:type="dxa"/>
            <w:tcBorders>
              <w:top w:val="nil"/>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874</w:t>
            </w:r>
          </w:p>
        </w:tc>
        <w:tc>
          <w:tcPr>
            <w:tcW w:w="1037" w:type="dxa"/>
            <w:tcBorders>
              <w:top w:val="nil"/>
              <w:left w:val="nil"/>
              <w:bottom w:val="nil"/>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842</w:t>
            </w:r>
          </w:p>
        </w:tc>
        <w:tc>
          <w:tcPr>
            <w:tcW w:w="1615" w:type="dxa"/>
            <w:tcBorders>
              <w:top w:val="nil"/>
              <w:left w:val="nil"/>
              <w:bottom w:val="nil"/>
              <w:right w:val="nil"/>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18.6-</w:t>
            </w:r>
          </w:p>
        </w:tc>
        <w:tc>
          <w:tcPr>
            <w:tcW w:w="1399" w:type="dxa"/>
            <w:tcBorders>
              <w:top w:val="nil"/>
              <w:left w:val="nil"/>
              <w:bottom w:val="nil"/>
              <w:right w:val="single" w:sz="4" w:space="0" w:color="auto"/>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3.7-</w:t>
            </w:r>
          </w:p>
        </w:tc>
      </w:tr>
      <w:tr w:rsidR="00C76E45" w:rsidRPr="00AB2CF1" w:rsidTr="00507845">
        <w:trPr>
          <w:trHeight w:val="378"/>
        </w:trPr>
        <w:tc>
          <w:tcPr>
            <w:tcW w:w="3119" w:type="dxa"/>
            <w:tcBorders>
              <w:top w:val="nil"/>
              <w:left w:val="single" w:sz="4" w:space="0" w:color="auto"/>
              <w:bottom w:val="single" w:sz="4" w:space="0" w:color="auto"/>
              <w:right w:val="single" w:sz="4" w:space="0" w:color="auto"/>
            </w:tcBorders>
            <w:vAlign w:val="center"/>
          </w:tcPr>
          <w:p w:rsidR="00C76E45" w:rsidRPr="00AB2CF1" w:rsidRDefault="00C76E45"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134" w:type="dxa"/>
            <w:tcBorders>
              <w:top w:val="nil"/>
              <w:left w:val="single" w:sz="4" w:space="0" w:color="auto"/>
              <w:bottom w:val="single" w:sz="4" w:space="0" w:color="auto"/>
              <w:right w:val="nil"/>
            </w:tcBorders>
            <w:vAlign w:val="center"/>
          </w:tcPr>
          <w:p w:rsidR="00C76E45" w:rsidRPr="00A8090F" w:rsidRDefault="00C76E45" w:rsidP="0050784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992" w:type="dxa"/>
            <w:tcBorders>
              <w:top w:val="nil"/>
              <w:left w:val="nil"/>
              <w:bottom w:val="single" w:sz="4" w:space="0" w:color="auto"/>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152.1</w:t>
            </w:r>
          </w:p>
        </w:tc>
        <w:tc>
          <w:tcPr>
            <w:tcW w:w="1037" w:type="dxa"/>
            <w:tcBorders>
              <w:top w:val="nil"/>
              <w:left w:val="nil"/>
              <w:bottom w:val="single" w:sz="4" w:space="0" w:color="auto"/>
              <w:right w:val="nil"/>
            </w:tcBorders>
            <w:vAlign w:val="center"/>
          </w:tcPr>
          <w:p w:rsidR="00C76E45" w:rsidRPr="00A8090F" w:rsidRDefault="00C76E45" w:rsidP="005078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140.3</w:t>
            </w:r>
          </w:p>
        </w:tc>
        <w:tc>
          <w:tcPr>
            <w:tcW w:w="1615" w:type="dxa"/>
            <w:tcBorders>
              <w:top w:val="nil"/>
              <w:left w:val="nil"/>
              <w:bottom w:val="single" w:sz="4" w:space="0" w:color="auto"/>
              <w:right w:val="nil"/>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18.3-</w:t>
            </w:r>
          </w:p>
        </w:tc>
        <w:tc>
          <w:tcPr>
            <w:tcW w:w="1399" w:type="dxa"/>
            <w:tcBorders>
              <w:top w:val="nil"/>
              <w:left w:val="nil"/>
              <w:bottom w:val="single" w:sz="4" w:space="0" w:color="auto"/>
              <w:right w:val="single" w:sz="4" w:space="0" w:color="auto"/>
            </w:tcBorders>
            <w:vAlign w:val="center"/>
          </w:tcPr>
          <w:p w:rsidR="00C76E45" w:rsidRPr="004F7BF3" w:rsidRDefault="00C76E45" w:rsidP="0068398B">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7.8-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FF3651" w:rsidP="00FF3651">
      <w:pPr>
        <w:tabs>
          <w:tab w:val="right" w:pos="9072"/>
        </w:tabs>
        <w:bidi w:val="0"/>
        <w:ind w:right="-2"/>
        <w:jc w:val="both"/>
        <w:rPr>
          <w:sz w:val="24"/>
          <w:szCs w:val="24"/>
        </w:rPr>
      </w:pPr>
      <w:r w:rsidRPr="00653646">
        <w:rPr>
          <w:sz w:val="24"/>
          <w:szCs w:val="24"/>
        </w:rPr>
        <w:t>The instructions, forms and necessary tools for data entry were prepared in advance.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EF36BF" w:rsidRPr="00653646" w:rsidRDefault="00D62B04" w:rsidP="00D62B04">
      <w:pPr>
        <w:tabs>
          <w:tab w:val="right" w:pos="9072"/>
        </w:tabs>
        <w:bidi w:val="0"/>
        <w:ind w:right="-2"/>
        <w:jc w:val="both"/>
        <w:rPr>
          <w:sz w:val="24"/>
          <w:szCs w:val="24"/>
        </w:rPr>
      </w:pPr>
      <w:r w:rsidRPr="00653646">
        <w:rPr>
          <w:sz w:val="24"/>
          <w:szCs w:val="24"/>
        </w:rPr>
        <w:t xml:space="preserve">Following the processes of data entry, checking and </w:t>
      </w:r>
      <w:r>
        <w:rPr>
          <w:sz w:val="24"/>
          <w:szCs w:val="24"/>
        </w:rPr>
        <w:t>v</w:t>
      </w:r>
      <w:r w:rsidRPr="00653646">
        <w:rPr>
          <w:sz w:val="24"/>
          <w:szCs w:val="24"/>
        </w:rPr>
        <w:t>e</w:t>
      </w:r>
      <w:r>
        <w:rPr>
          <w:sz w:val="24"/>
          <w:szCs w:val="24"/>
        </w:rPr>
        <w:t>r</w:t>
      </w:r>
      <w:r w:rsidRPr="00653646">
        <w:rPr>
          <w:sz w:val="24"/>
          <w:szCs w:val="24"/>
        </w:rPr>
        <w:t xml:space="preserve">ification of work, preliminary tables of the survey results carried out by the responsible department </w:t>
      </w:r>
      <w:r>
        <w:rPr>
          <w:sz w:val="24"/>
          <w:szCs w:val="24"/>
        </w:rPr>
        <w:t>we</w:t>
      </w:r>
      <w:r w:rsidRPr="00653646">
        <w:rPr>
          <w:sz w:val="24"/>
          <w:szCs w:val="24"/>
        </w:rPr>
        <w:t xml:space="preserve">re prepared in accordance with the tabulation forms </w:t>
      </w:r>
      <w:r>
        <w:rPr>
          <w:sz w:val="24"/>
          <w:szCs w:val="24"/>
        </w:rPr>
        <w:t>defined</w:t>
      </w:r>
      <w:r w:rsidRPr="00653646">
        <w:rPr>
          <w:sz w:val="24"/>
          <w:szCs w:val="24"/>
        </w:rPr>
        <w:t xml:space="preserve"> previously for this survey. These tables are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226D02" w:rsidP="00535D43">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r w:rsidR="00535D43">
        <w:rPr>
          <w:rFonts w:cs="Times New Roman"/>
          <w:color w:val="000000"/>
          <w:sz w:val="24"/>
          <w:szCs w:val="24"/>
          <w:lang w:bidi="ar-LB"/>
        </w:rPr>
        <w:t>.</w:t>
      </w:r>
    </w:p>
    <w:p w:rsidR="00535D43" w:rsidRDefault="00535D43" w:rsidP="00535D43">
      <w:pPr>
        <w:bidi w:val="0"/>
        <w:jc w:val="both"/>
        <w:rPr>
          <w:rFonts w:cs="Times New Roman"/>
          <w:color w:val="000000"/>
          <w:sz w:val="22"/>
          <w:szCs w:val="22"/>
          <w:lang w:bidi="ar-LB"/>
        </w:rPr>
      </w:pPr>
    </w:p>
    <w:p w:rsidR="00EF36BF" w:rsidRPr="00FE7096" w:rsidRDefault="00EF36BF" w:rsidP="00EF36BF">
      <w:pPr>
        <w:bidi w:val="0"/>
        <w:jc w:val="both"/>
        <w:rPr>
          <w:rFonts w:cs="Times New Roman"/>
          <w:color w:val="000000"/>
          <w:sz w:val="22"/>
          <w:szCs w:val="22"/>
          <w:lang w:bidi="ar-LB"/>
        </w:rPr>
      </w:pPr>
    </w:p>
    <w:p w:rsidR="00FF3651" w:rsidRDefault="00FF3651" w:rsidP="00FF3651">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Tables exclude building licenses for those parts of Jerusalem annexed by Israel in 1967, while (J2) includes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FF3651">
      <w:pPr>
        <w:bidi w:val="0"/>
        <w:ind w:right="283"/>
        <w:jc w:val="both"/>
        <w:rPr>
          <w:b/>
          <w:bCs/>
          <w:sz w:val="24"/>
          <w:szCs w:val="24"/>
        </w:rPr>
      </w:pPr>
      <w:r w:rsidRPr="00C90F36">
        <w:rPr>
          <w:b/>
          <w:bCs/>
          <w:sz w:val="24"/>
          <w:szCs w:val="24"/>
        </w:rPr>
        <w:t>Statistical Unit: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E45A47">
      <w:pPr>
        <w:numPr>
          <w:ilvl w:val="0"/>
          <w:numId w:val="8"/>
        </w:numPr>
        <w:bidi w:val="0"/>
        <w:ind w:right="720"/>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BE13B6">
      <w:pPr>
        <w:numPr>
          <w:ilvl w:val="0"/>
          <w:numId w:val="8"/>
        </w:numPr>
        <w:bidi w:val="0"/>
        <w:ind w:right="720"/>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 xml:space="preserve">wned by </w:t>
      </w:r>
      <w:r w:rsidR="00BE13B6">
        <w:rPr>
          <w:sz w:val="24"/>
          <w:szCs w:val="24"/>
        </w:rPr>
        <w:t>state of Palestine</w:t>
      </w:r>
      <w:r w:rsidRPr="005556E8">
        <w:rPr>
          <w:sz w:val="24"/>
          <w:szCs w:val="24"/>
        </w:rPr>
        <w:t xml:space="preserve"> institution.</w:t>
      </w:r>
    </w:p>
    <w:p w:rsidR="00E45A47" w:rsidRPr="00C90F36" w:rsidRDefault="00E45A47" w:rsidP="00E45A47">
      <w:pPr>
        <w:numPr>
          <w:ilvl w:val="0"/>
          <w:numId w:val="8"/>
        </w:numPr>
        <w:bidi w:val="0"/>
        <w:ind w:right="720"/>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E45A47">
      <w:pPr>
        <w:numPr>
          <w:ilvl w:val="0"/>
          <w:numId w:val="8"/>
        </w:numPr>
        <w:bidi w:val="0"/>
        <w:ind w:right="720"/>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E45A47">
      <w:pPr>
        <w:numPr>
          <w:ilvl w:val="0"/>
          <w:numId w:val="8"/>
        </w:numPr>
        <w:bidi w:val="0"/>
        <w:ind w:right="720"/>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E45A47">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E45A47">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C90F36" w:rsidRDefault="00E45A47" w:rsidP="00E45A47">
      <w:pPr>
        <w:bidi w:val="0"/>
        <w:ind w:left="567" w:right="644"/>
        <w:jc w:val="both"/>
        <w:rPr>
          <w:sz w:val="24"/>
          <w:szCs w:val="24"/>
        </w:rPr>
      </w:pPr>
      <w:r w:rsidRPr="00C90F36">
        <w:rPr>
          <w:sz w:val="24"/>
          <w:szCs w:val="24"/>
        </w:rPr>
        <w:t>- Complete dwellings.</w:t>
      </w:r>
    </w:p>
    <w:p w:rsidR="00E45A47" w:rsidRPr="00C90F36" w:rsidRDefault="00E45A47" w:rsidP="00E45A47">
      <w:pPr>
        <w:bidi w:val="0"/>
        <w:ind w:left="567" w:right="644"/>
        <w:jc w:val="both"/>
        <w:rPr>
          <w:sz w:val="24"/>
          <w:szCs w:val="24"/>
        </w:rPr>
      </w:pPr>
      <w:r w:rsidRPr="00C90F36">
        <w:rPr>
          <w:sz w:val="24"/>
          <w:szCs w:val="24"/>
        </w:rPr>
        <w:t>- Rooms added to the dwellings.</w:t>
      </w:r>
    </w:p>
    <w:p w:rsidR="00E45A47" w:rsidRPr="00C90F36" w:rsidRDefault="00E45A47" w:rsidP="00E45A47">
      <w:pPr>
        <w:bidi w:val="0"/>
        <w:ind w:left="567" w:right="644"/>
        <w:jc w:val="both"/>
        <w:rPr>
          <w:sz w:val="24"/>
          <w:szCs w:val="24"/>
        </w:rPr>
      </w:pPr>
      <w:r w:rsidRPr="00C90F36">
        <w:rPr>
          <w:sz w:val="24"/>
          <w:szCs w:val="24"/>
        </w:rPr>
        <w:t xml:space="preserve">- Extension of other facilities, e.g., kitchen, bathroom, cesspool, garage. </w:t>
      </w:r>
    </w:p>
    <w:p w:rsidR="00E45A47" w:rsidRPr="00A25642" w:rsidRDefault="00E45A47" w:rsidP="00E45A47">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E45A47">
      <w:pPr>
        <w:numPr>
          <w:ilvl w:val="0"/>
          <w:numId w:val="3"/>
        </w:numPr>
        <w:bidi w:val="0"/>
        <w:ind w:left="567" w:right="-1" w:hanging="425"/>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FF3651">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p>
    <w:p w:rsidR="009F67CA" w:rsidRDefault="009F67CA" w:rsidP="00FE7096">
      <w:pPr>
        <w:bidi w:val="0"/>
        <w:jc w:val="both"/>
      </w:pPr>
    </w:p>
    <w:sectPr w:rsidR="009F67CA" w:rsidSect="007E568B">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CE5" w:rsidRDefault="003B0CE5" w:rsidP="00E703CA">
      <w:r>
        <w:separator/>
      </w:r>
    </w:p>
  </w:endnote>
  <w:endnote w:type="continuationSeparator" w:id="0">
    <w:p w:rsidR="003B0CE5" w:rsidRDefault="003B0CE5"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A3AE3" w:rsidRDefault="003A3AE3">
        <w:pPr>
          <w:pStyle w:val="Footer"/>
          <w:jc w:val="center"/>
        </w:pPr>
        <w:r>
          <w:t>]</w:t>
        </w:r>
        <w:fldSimple w:instr=" PAGE   \* MERGEFORMAT ">
          <w:r w:rsidR="00F40EE3">
            <w:rPr>
              <w:noProof/>
              <w:rtl/>
            </w:rPr>
            <w:t>13</w:t>
          </w:r>
        </w:fldSimple>
        <w:r>
          <w:t>[</w:t>
        </w:r>
      </w:p>
    </w:sdtContent>
  </w:sdt>
  <w:p w:rsidR="003A3AE3" w:rsidRDefault="003A3A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CE5" w:rsidRDefault="003B0CE5" w:rsidP="00E703CA">
      <w:r>
        <w:separator/>
      </w:r>
    </w:p>
  </w:footnote>
  <w:footnote w:type="continuationSeparator" w:id="0">
    <w:p w:rsidR="003B0CE5" w:rsidRDefault="003B0CE5"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852" w:rsidRPr="00E703CA" w:rsidRDefault="00482852" w:rsidP="00482852">
    <w:pPr>
      <w:pStyle w:val="Header"/>
      <w:bidi w:val="0"/>
      <w:rPr>
        <w:sz w:val="16"/>
        <w:szCs w:val="16"/>
      </w:rPr>
    </w:pPr>
    <w:r w:rsidRPr="00A31171">
      <w:rPr>
        <w:sz w:val="16"/>
        <w:szCs w:val="16"/>
      </w:rPr>
      <w:t xml:space="preserve">PCBS: </w:t>
    </w:r>
    <w:r>
      <w:rPr>
        <w:rFonts w:cs="Times New Roman"/>
        <w:sz w:val="16"/>
        <w:szCs w:val="16"/>
      </w:rPr>
      <w:t>Building Licenses Statistics, F</w:t>
    </w:r>
    <w:r>
      <w:rPr>
        <w:rFonts w:asciiTheme="majorBidi" w:hAnsiTheme="majorBidi" w:cstheme="majorBidi"/>
        <w:sz w:val="16"/>
        <w:szCs w:val="16"/>
      </w:rPr>
      <w:t xml:space="preserve">irst </w:t>
    </w:r>
    <w:r w:rsidRPr="00EE5BCC">
      <w:rPr>
        <w:rFonts w:cs="Times New Roman"/>
        <w:sz w:val="16"/>
        <w:szCs w:val="16"/>
      </w:rPr>
      <w:t>Quarter</w:t>
    </w:r>
    <w:r>
      <w:rPr>
        <w:sz w:val="16"/>
        <w:szCs w:val="16"/>
      </w:rPr>
      <w:t xml:space="preserve"> 2014</w:t>
    </w:r>
  </w:p>
  <w:p w:rsidR="003A3AE3" w:rsidRPr="00482852" w:rsidRDefault="003A3AE3"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9"/>
  </w:num>
  <w:num w:numId="2">
    <w:abstractNumId w:val="3"/>
  </w:num>
  <w:num w:numId="3">
    <w:abstractNumId w:val="4"/>
  </w:num>
  <w:num w:numId="4">
    <w:abstractNumId w:val="10"/>
  </w:num>
  <w:num w:numId="5">
    <w:abstractNumId w:val="0"/>
  </w:num>
  <w:num w:numId="6">
    <w:abstractNumId w:val="6"/>
  </w:num>
  <w:num w:numId="7">
    <w:abstractNumId w:val="5"/>
  </w:num>
  <w:num w:numId="8">
    <w:abstractNumId w:val="7"/>
  </w:num>
  <w:num w:numId="9">
    <w:abstractNumId w:val="2"/>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9A8"/>
    <w:rsid w:val="00005D56"/>
    <w:rsid w:val="0001026E"/>
    <w:rsid w:val="0002066D"/>
    <w:rsid w:val="0003061D"/>
    <w:rsid w:val="00033797"/>
    <w:rsid w:val="0003530C"/>
    <w:rsid w:val="000402A2"/>
    <w:rsid w:val="00040453"/>
    <w:rsid w:val="00040D98"/>
    <w:rsid w:val="00051254"/>
    <w:rsid w:val="0005134C"/>
    <w:rsid w:val="00053CB7"/>
    <w:rsid w:val="00066134"/>
    <w:rsid w:val="000668B6"/>
    <w:rsid w:val="0007063F"/>
    <w:rsid w:val="000728C0"/>
    <w:rsid w:val="00074371"/>
    <w:rsid w:val="0007460F"/>
    <w:rsid w:val="000756F7"/>
    <w:rsid w:val="0007591D"/>
    <w:rsid w:val="0008271E"/>
    <w:rsid w:val="00085CFC"/>
    <w:rsid w:val="00086E48"/>
    <w:rsid w:val="00093404"/>
    <w:rsid w:val="000A1D52"/>
    <w:rsid w:val="000A20FB"/>
    <w:rsid w:val="000A5FBE"/>
    <w:rsid w:val="000C0D42"/>
    <w:rsid w:val="000C0E0B"/>
    <w:rsid w:val="000C64A6"/>
    <w:rsid w:val="000C7670"/>
    <w:rsid w:val="000D7E10"/>
    <w:rsid w:val="000E49EF"/>
    <w:rsid w:val="000F05A4"/>
    <w:rsid w:val="000F380F"/>
    <w:rsid w:val="000F5156"/>
    <w:rsid w:val="00106EB4"/>
    <w:rsid w:val="00110FD6"/>
    <w:rsid w:val="00113176"/>
    <w:rsid w:val="00117040"/>
    <w:rsid w:val="00120F55"/>
    <w:rsid w:val="00121FF7"/>
    <w:rsid w:val="0012211E"/>
    <w:rsid w:val="00131593"/>
    <w:rsid w:val="00136517"/>
    <w:rsid w:val="001460EF"/>
    <w:rsid w:val="0014613D"/>
    <w:rsid w:val="001475C3"/>
    <w:rsid w:val="00152CFB"/>
    <w:rsid w:val="0016036B"/>
    <w:rsid w:val="00160A67"/>
    <w:rsid w:val="0017058D"/>
    <w:rsid w:val="00170DBA"/>
    <w:rsid w:val="00171E5B"/>
    <w:rsid w:val="0017650F"/>
    <w:rsid w:val="00184B31"/>
    <w:rsid w:val="0018797F"/>
    <w:rsid w:val="00190CB0"/>
    <w:rsid w:val="00193DD9"/>
    <w:rsid w:val="001A38D5"/>
    <w:rsid w:val="001A3FBA"/>
    <w:rsid w:val="001A7A7B"/>
    <w:rsid w:val="001B1849"/>
    <w:rsid w:val="001B5137"/>
    <w:rsid w:val="001B69DE"/>
    <w:rsid w:val="001B725C"/>
    <w:rsid w:val="001B7A0C"/>
    <w:rsid w:val="001C12C5"/>
    <w:rsid w:val="001C5E68"/>
    <w:rsid w:val="001E3A91"/>
    <w:rsid w:val="001E3D3F"/>
    <w:rsid w:val="001F1017"/>
    <w:rsid w:val="001F3C44"/>
    <w:rsid w:val="001F4350"/>
    <w:rsid w:val="001F5C78"/>
    <w:rsid w:val="001F713E"/>
    <w:rsid w:val="00200997"/>
    <w:rsid w:val="002035E2"/>
    <w:rsid w:val="002139B8"/>
    <w:rsid w:val="00220E07"/>
    <w:rsid w:val="00226D02"/>
    <w:rsid w:val="00230C44"/>
    <w:rsid w:val="00232717"/>
    <w:rsid w:val="00232CAA"/>
    <w:rsid w:val="0023370D"/>
    <w:rsid w:val="00234B2A"/>
    <w:rsid w:val="002353F5"/>
    <w:rsid w:val="002358B9"/>
    <w:rsid w:val="00241D99"/>
    <w:rsid w:val="0024590F"/>
    <w:rsid w:val="00250A24"/>
    <w:rsid w:val="00264295"/>
    <w:rsid w:val="0027634C"/>
    <w:rsid w:val="00283473"/>
    <w:rsid w:val="00286EBF"/>
    <w:rsid w:val="0029263B"/>
    <w:rsid w:val="0029537E"/>
    <w:rsid w:val="002958E0"/>
    <w:rsid w:val="002A4FF0"/>
    <w:rsid w:val="002B55BE"/>
    <w:rsid w:val="002B6E44"/>
    <w:rsid w:val="002C1E91"/>
    <w:rsid w:val="002C220B"/>
    <w:rsid w:val="002C2ACA"/>
    <w:rsid w:val="002C5943"/>
    <w:rsid w:val="002D2F50"/>
    <w:rsid w:val="002F0814"/>
    <w:rsid w:val="002F64D7"/>
    <w:rsid w:val="002F749C"/>
    <w:rsid w:val="0030686B"/>
    <w:rsid w:val="00324BB6"/>
    <w:rsid w:val="0033746C"/>
    <w:rsid w:val="00343DC6"/>
    <w:rsid w:val="003451A7"/>
    <w:rsid w:val="00350E4C"/>
    <w:rsid w:val="00355238"/>
    <w:rsid w:val="00361AA7"/>
    <w:rsid w:val="0036466C"/>
    <w:rsid w:val="00365A27"/>
    <w:rsid w:val="00372540"/>
    <w:rsid w:val="00374099"/>
    <w:rsid w:val="0037620F"/>
    <w:rsid w:val="00376600"/>
    <w:rsid w:val="0038248D"/>
    <w:rsid w:val="0038461F"/>
    <w:rsid w:val="00386D56"/>
    <w:rsid w:val="00391406"/>
    <w:rsid w:val="003A2D3E"/>
    <w:rsid w:val="003A3AE3"/>
    <w:rsid w:val="003B0AD8"/>
    <w:rsid w:val="003B0CE5"/>
    <w:rsid w:val="003B62DF"/>
    <w:rsid w:val="003C0AE5"/>
    <w:rsid w:val="003C1F3D"/>
    <w:rsid w:val="003D5A0B"/>
    <w:rsid w:val="003D5FA4"/>
    <w:rsid w:val="003F5B92"/>
    <w:rsid w:val="004126FC"/>
    <w:rsid w:val="004131A7"/>
    <w:rsid w:val="00416A42"/>
    <w:rsid w:val="004203D9"/>
    <w:rsid w:val="00420B97"/>
    <w:rsid w:val="00427FCA"/>
    <w:rsid w:val="00434A05"/>
    <w:rsid w:val="00456A95"/>
    <w:rsid w:val="004722EF"/>
    <w:rsid w:val="004734F6"/>
    <w:rsid w:val="004738DD"/>
    <w:rsid w:val="00475B7E"/>
    <w:rsid w:val="004779B9"/>
    <w:rsid w:val="00477F6C"/>
    <w:rsid w:val="00482852"/>
    <w:rsid w:val="0048677E"/>
    <w:rsid w:val="0048697D"/>
    <w:rsid w:val="00491434"/>
    <w:rsid w:val="004926FD"/>
    <w:rsid w:val="004951FB"/>
    <w:rsid w:val="00497B92"/>
    <w:rsid w:val="004A2789"/>
    <w:rsid w:val="004A616C"/>
    <w:rsid w:val="004B4914"/>
    <w:rsid w:val="004B620D"/>
    <w:rsid w:val="004C1573"/>
    <w:rsid w:val="004C4EC9"/>
    <w:rsid w:val="004C57F4"/>
    <w:rsid w:val="004C74FC"/>
    <w:rsid w:val="004D005C"/>
    <w:rsid w:val="004D114A"/>
    <w:rsid w:val="004E4968"/>
    <w:rsid w:val="004E4CEF"/>
    <w:rsid w:val="004E76AF"/>
    <w:rsid w:val="004E7B4C"/>
    <w:rsid w:val="004F58B4"/>
    <w:rsid w:val="0050464E"/>
    <w:rsid w:val="00507845"/>
    <w:rsid w:val="00510AF2"/>
    <w:rsid w:val="005158EF"/>
    <w:rsid w:val="005170B2"/>
    <w:rsid w:val="0052010C"/>
    <w:rsid w:val="0052423D"/>
    <w:rsid w:val="00526BFD"/>
    <w:rsid w:val="00530C48"/>
    <w:rsid w:val="00530DA8"/>
    <w:rsid w:val="00535D43"/>
    <w:rsid w:val="0053710A"/>
    <w:rsid w:val="00554905"/>
    <w:rsid w:val="00554A81"/>
    <w:rsid w:val="005556E8"/>
    <w:rsid w:val="00557E2F"/>
    <w:rsid w:val="00560B70"/>
    <w:rsid w:val="00562FD1"/>
    <w:rsid w:val="005657BD"/>
    <w:rsid w:val="00565EE2"/>
    <w:rsid w:val="005720A1"/>
    <w:rsid w:val="00577EC1"/>
    <w:rsid w:val="00594E49"/>
    <w:rsid w:val="005B0436"/>
    <w:rsid w:val="005B0D81"/>
    <w:rsid w:val="005B2C60"/>
    <w:rsid w:val="005B7BA2"/>
    <w:rsid w:val="005C1454"/>
    <w:rsid w:val="005C2BC8"/>
    <w:rsid w:val="005C332B"/>
    <w:rsid w:val="005C568E"/>
    <w:rsid w:val="005C6E80"/>
    <w:rsid w:val="005C728D"/>
    <w:rsid w:val="005C7849"/>
    <w:rsid w:val="005D0E2B"/>
    <w:rsid w:val="005D1370"/>
    <w:rsid w:val="005D23AF"/>
    <w:rsid w:val="005D4665"/>
    <w:rsid w:val="005E1977"/>
    <w:rsid w:val="005E3F44"/>
    <w:rsid w:val="005E5F0E"/>
    <w:rsid w:val="005F0BC4"/>
    <w:rsid w:val="00604301"/>
    <w:rsid w:val="00604B5B"/>
    <w:rsid w:val="00613606"/>
    <w:rsid w:val="006212AC"/>
    <w:rsid w:val="00623160"/>
    <w:rsid w:val="00637E1F"/>
    <w:rsid w:val="006465BE"/>
    <w:rsid w:val="0065298E"/>
    <w:rsid w:val="00653646"/>
    <w:rsid w:val="0066161E"/>
    <w:rsid w:val="00661F07"/>
    <w:rsid w:val="00677BA8"/>
    <w:rsid w:val="00680FAA"/>
    <w:rsid w:val="00681D89"/>
    <w:rsid w:val="006825DD"/>
    <w:rsid w:val="006956B1"/>
    <w:rsid w:val="006A1407"/>
    <w:rsid w:val="006C3812"/>
    <w:rsid w:val="006C4062"/>
    <w:rsid w:val="006C49AB"/>
    <w:rsid w:val="006C6B3C"/>
    <w:rsid w:val="006D1487"/>
    <w:rsid w:val="006D3D00"/>
    <w:rsid w:val="006E69DD"/>
    <w:rsid w:val="006F14C1"/>
    <w:rsid w:val="006F3574"/>
    <w:rsid w:val="006F5B46"/>
    <w:rsid w:val="0070479F"/>
    <w:rsid w:val="00710BF7"/>
    <w:rsid w:val="00716F2A"/>
    <w:rsid w:val="007201AE"/>
    <w:rsid w:val="00721FE0"/>
    <w:rsid w:val="00727E20"/>
    <w:rsid w:val="0073209C"/>
    <w:rsid w:val="0073403B"/>
    <w:rsid w:val="007347B3"/>
    <w:rsid w:val="00737AF8"/>
    <w:rsid w:val="0074464E"/>
    <w:rsid w:val="0074527F"/>
    <w:rsid w:val="007455A2"/>
    <w:rsid w:val="007566AC"/>
    <w:rsid w:val="0076697D"/>
    <w:rsid w:val="0076787F"/>
    <w:rsid w:val="00767E7C"/>
    <w:rsid w:val="00771168"/>
    <w:rsid w:val="007732DB"/>
    <w:rsid w:val="00787823"/>
    <w:rsid w:val="00796B0F"/>
    <w:rsid w:val="007A214F"/>
    <w:rsid w:val="007D3C04"/>
    <w:rsid w:val="007D7395"/>
    <w:rsid w:val="007E114E"/>
    <w:rsid w:val="007E568B"/>
    <w:rsid w:val="007E5E01"/>
    <w:rsid w:val="007E7E10"/>
    <w:rsid w:val="007F0D90"/>
    <w:rsid w:val="007F384C"/>
    <w:rsid w:val="007F5839"/>
    <w:rsid w:val="007F6DCD"/>
    <w:rsid w:val="0080252B"/>
    <w:rsid w:val="00805444"/>
    <w:rsid w:val="00807B2D"/>
    <w:rsid w:val="008120BB"/>
    <w:rsid w:val="00834916"/>
    <w:rsid w:val="00837537"/>
    <w:rsid w:val="00844AE9"/>
    <w:rsid w:val="00844BFE"/>
    <w:rsid w:val="00845B3C"/>
    <w:rsid w:val="0084739B"/>
    <w:rsid w:val="00855FD9"/>
    <w:rsid w:val="00857A35"/>
    <w:rsid w:val="008673E7"/>
    <w:rsid w:val="008832B7"/>
    <w:rsid w:val="00884090"/>
    <w:rsid w:val="0088617D"/>
    <w:rsid w:val="00893760"/>
    <w:rsid w:val="008952A3"/>
    <w:rsid w:val="00897DCD"/>
    <w:rsid w:val="008A057F"/>
    <w:rsid w:val="008A0D39"/>
    <w:rsid w:val="008A4B67"/>
    <w:rsid w:val="008A50EC"/>
    <w:rsid w:val="008A7112"/>
    <w:rsid w:val="008B5FA9"/>
    <w:rsid w:val="008C3F81"/>
    <w:rsid w:val="008C61EB"/>
    <w:rsid w:val="008C78B0"/>
    <w:rsid w:val="008D12DF"/>
    <w:rsid w:val="008D2B6F"/>
    <w:rsid w:val="008D5A4C"/>
    <w:rsid w:val="008D5DA8"/>
    <w:rsid w:val="008D644A"/>
    <w:rsid w:val="008E0CD1"/>
    <w:rsid w:val="008E5BAB"/>
    <w:rsid w:val="008F2452"/>
    <w:rsid w:val="008F33B3"/>
    <w:rsid w:val="008F732A"/>
    <w:rsid w:val="009012E6"/>
    <w:rsid w:val="00905E5F"/>
    <w:rsid w:val="00912620"/>
    <w:rsid w:val="00914484"/>
    <w:rsid w:val="00922333"/>
    <w:rsid w:val="009241E9"/>
    <w:rsid w:val="00926008"/>
    <w:rsid w:val="00933F40"/>
    <w:rsid w:val="0093416C"/>
    <w:rsid w:val="0094191A"/>
    <w:rsid w:val="00942AF2"/>
    <w:rsid w:val="00943088"/>
    <w:rsid w:val="0094338F"/>
    <w:rsid w:val="00946B4E"/>
    <w:rsid w:val="00952574"/>
    <w:rsid w:val="00952F37"/>
    <w:rsid w:val="00955B61"/>
    <w:rsid w:val="009624CC"/>
    <w:rsid w:val="00971686"/>
    <w:rsid w:val="0097309A"/>
    <w:rsid w:val="00974AD0"/>
    <w:rsid w:val="009755FE"/>
    <w:rsid w:val="00977517"/>
    <w:rsid w:val="0098572B"/>
    <w:rsid w:val="00987B6B"/>
    <w:rsid w:val="00987D94"/>
    <w:rsid w:val="009A0C3C"/>
    <w:rsid w:val="009A3611"/>
    <w:rsid w:val="009A3A56"/>
    <w:rsid w:val="009B3155"/>
    <w:rsid w:val="009B3379"/>
    <w:rsid w:val="009B357F"/>
    <w:rsid w:val="009B38E0"/>
    <w:rsid w:val="009C0065"/>
    <w:rsid w:val="009C1315"/>
    <w:rsid w:val="009D254E"/>
    <w:rsid w:val="009D2E2D"/>
    <w:rsid w:val="009F189E"/>
    <w:rsid w:val="009F67CA"/>
    <w:rsid w:val="00A0106A"/>
    <w:rsid w:val="00A01C6B"/>
    <w:rsid w:val="00A01E5D"/>
    <w:rsid w:val="00A03B5C"/>
    <w:rsid w:val="00A15F83"/>
    <w:rsid w:val="00A16B57"/>
    <w:rsid w:val="00A178CB"/>
    <w:rsid w:val="00A217F3"/>
    <w:rsid w:val="00A25268"/>
    <w:rsid w:val="00A25642"/>
    <w:rsid w:val="00A25C0D"/>
    <w:rsid w:val="00A31911"/>
    <w:rsid w:val="00A33318"/>
    <w:rsid w:val="00A33DFC"/>
    <w:rsid w:val="00A41425"/>
    <w:rsid w:val="00A46723"/>
    <w:rsid w:val="00A47201"/>
    <w:rsid w:val="00A5099F"/>
    <w:rsid w:val="00A52E50"/>
    <w:rsid w:val="00A53BCF"/>
    <w:rsid w:val="00A61551"/>
    <w:rsid w:val="00A63E69"/>
    <w:rsid w:val="00A671A6"/>
    <w:rsid w:val="00A72073"/>
    <w:rsid w:val="00A72B66"/>
    <w:rsid w:val="00A835CF"/>
    <w:rsid w:val="00A83C96"/>
    <w:rsid w:val="00A84163"/>
    <w:rsid w:val="00A84E9C"/>
    <w:rsid w:val="00AA2148"/>
    <w:rsid w:val="00AA71B3"/>
    <w:rsid w:val="00AB1F0F"/>
    <w:rsid w:val="00AB2CF1"/>
    <w:rsid w:val="00AB51E0"/>
    <w:rsid w:val="00AB52CD"/>
    <w:rsid w:val="00AB6407"/>
    <w:rsid w:val="00AC34A0"/>
    <w:rsid w:val="00AC5D49"/>
    <w:rsid w:val="00AD6678"/>
    <w:rsid w:val="00AE6845"/>
    <w:rsid w:val="00B00C0F"/>
    <w:rsid w:val="00B11161"/>
    <w:rsid w:val="00B14F5D"/>
    <w:rsid w:val="00B161FB"/>
    <w:rsid w:val="00B25DE8"/>
    <w:rsid w:val="00B2606F"/>
    <w:rsid w:val="00B30798"/>
    <w:rsid w:val="00B308AC"/>
    <w:rsid w:val="00B3204D"/>
    <w:rsid w:val="00B33FFD"/>
    <w:rsid w:val="00B361A1"/>
    <w:rsid w:val="00B423C6"/>
    <w:rsid w:val="00B43B0D"/>
    <w:rsid w:val="00B43F81"/>
    <w:rsid w:val="00B45F50"/>
    <w:rsid w:val="00B576BF"/>
    <w:rsid w:val="00B613F2"/>
    <w:rsid w:val="00B61AC9"/>
    <w:rsid w:val="00B61EAF"/>
    <w:rsid w:val="00B6795B"/>
    <w:rsid w:val="00B67E61"/>
    <w:rsid w:val="00B70723"/>
    <w:rsid w:val="00B747E3"/>
    <w:rsid w:val="00B80487"/>
    <w:rsid w:val="00B81330"/>
    <w:rsid w:val="00B8182A"/>
    <w:rsid w:val="00B81F5D"/>
    <w:rsid w:val="00B82F0F"/>
    <w:rsid w:val="00B82F42"/>
    <w:rsid w:val="00B83A31"/>
    <w:rsid w:val="00B866FC"/>
    <w:rsid w:val="00B86EA9"/>
    <w:rsid w:val="00B93D92"/>
    <w:rsid w:val="00B956D7"/>
    <w:rsid w:val="00BA2E40"/>
    <w:rsid w:val="00BA6C01"/>
    <w:rsid w:val="00BB1FD0"/>
    <w:rsid w:val="00BB4300"/>
    <w:rsid w:val="00BC0416"/>
    <w:rsid w:val="00BC06DA"/>
    <w:rsid w:val="00BC2791"/>
    <w:rsid w:val="00BC3C5A"/>
    <w:rsid w:val="00BD39D7"/>
    <w:rsid w:val="00BD39F8"/>
    <w:rsid w:val="00BD3FBB"/>
    <w:rsid w:val="00BD475D"/>
    <w:rsid w:val="00BD75D7"/>
    <w:rsid w:val="00BE13B6"/>
    <w:rsid w:val="00BE1A53"/>
    <w:rsid w:val="00BF21BC"/>
    <w:rsid w:val="00BF3F66"/>
    <w:rsid w:val="00BF43BC"/>
    <w:rsid w:val="00C0043A"/>
    <w:rsid w:val="00C04934"/>
    <w:rsid w:val="00C1154D"/>
    <w:rsid w:val="00C33BF7"/>
    <w:rsid w:val="00C53343"/>
    <w:rsid w:val="00C5400C"/>
    <w:rsid w:val="00C6154E"/>
    <w:rsid w:val="00C656F1"/>
    <w:rsid w:val="00C66826"/>
    <w:rsid w:val="00C75219"/>
    <w:rsid w:val="00C75C49"/>
    <w:rsid w:val="00C76E45"/>
    <w:rsid w:val="00C83EA3"/>
    <w:rsid w:val="00C850C8"/>
    <w:rsid w:val="00C87EA1"/>
    <w:rsid w:val="00C909AD"/>
    <w:rsid w:val="00C92CF6"/>
    <w:rsid w:val="00C948CE"/>
    <w:rsid w:val="00C96A5A"/>
    <w:rsid w:val="00CA1553"/>
    <w:rsid w:val="00CB7F73"/>
    <w:rsid w:val="00CC08B9"/>
    <w:rsid w:val="00CC4FFA"/>
    <w:rsid w:val="00CC5F49"/>
    <w:rsid w:val="00CD05C7"/>
    <w:rsid w:val="00CD3516"/>
    <w:rsid w:val="00CD37DF"/>
    <w:rsid w:val="00CD722C"/>
    <w:rsid w:val="00CE04A0"/>
    <w:rsid w:val="00CF218D"/>
    <w:rsid w:val="00D04269"/>
    <w:rsid w:val="00D05E81"/>
    <w:rsid w:val="00D149C8"/>
    <w:rsid w:val="00D202CF"/>
    <w:rsid w:val="00D232A6"/>
    <w:rsid w:val="00D36736"/>
    <w:rsid w:val="00D4269C"/>
    <w:rsid w:val="00D469A0"/>
    <w:rsid w:val="00D52826"/>
    <w:rsid w:val="00D62B04"/>
    <w:rsid w:val="00D64EE2"/>
    <w:rsid w:val="00D74D8B"/>
    <w:rsid w:val="00D90C74"/>
    <w:rsid w:val="00D93301"/>
    <w:rsid w:val="00D94AE2"/>
    <w:rsid w:val="00DB026F"/>
    <w:rsid w:val="00DC2F0A"/>
    <w:rsid w:val="00DC409E"/>
    <w:rsid w:val="00DD11F5"/>
    <w:rsid w:val="00DD4DD3"/>
    <w:rsid w:val="00DE4337"/>
    <w:rsid w:val="00DE511D"/>
    <w:rsid w:val="00DE7F18"/>
    <w:rsid w:val="00DF2BD7"/>
    <w:rsid w:val="00DF4D5F"/>
    <w:rsid w:val="00E0024F"/>
    <w:rsid w:val="00E05F81"/>
    <w:rsid w:val="00E07382"/>
    <w:rsid w:val="00E15CEB"/>
    <w:rsid w:val="00E21F48"/>
    <w:rsid w:val="00E233A3"/>
    <w:rsid w:val="00E26CB1"/>
    <w:rsid w:val="00E26E6C"/>
    <w:rsid w:val="00E33BA2"/>
    <w:rsid w:val="00E357D6"/>
    <w:rsid w:val="00E364A2"/>
    <w:rsid w:val="00E36CAC"/>
    <w:rsid w:val="00E403C0"/>
    <w:rsid w:val="00E4245F"/>
    <w:rsid w:val="00E43DB2"/>
    <w:rsid w:val="00E45A47"/>
    <w:rsid w:val="00E52E7A"/>
    <w:rsid w:val="00E53531"/>
    <w:rsid w:val="00E55C4A"/>
    <w:rsid w:val="00E56E86"/>
    <w:rsid w:val="00E63ADE"/>
    <w:rsid w:val="00E703CA"/>
    <w:rsid w:val="00E70B52"/>
    <w:rsid w:val="00E849E3"/>
    <w:rsid w:val="00E86423"/>
    <w:rsid w:val="00EA246F"/>
    <w:rsid w:val="00EA710E"/>
    <w:rsid w:val="00EA79B7"/>
    <w:rsid w:val="00EB585A"/>
    <w:rsid w:val="00EC5D70"/>
    <w:rsid w:val="00EC622D"/>
    <w:rsid w:val="00ED089F"/>
    <w:rsid w:val="00ED3E1F"/>
    <w:rsid w:val="00ED652A"/>
    <w:rsid w:val="00ED6CB9"/>
    <w:rsid w:val="00EE1BE1"/>
    <w:rsid w:val="00EE5BCC"/>
    <w:rsid w:val="00EF1CF9"/>
    <w:rsid w:val="00EF36BF"/>
    <w:rsid w:val="00F0147D"/>
    <w:rsid w:val="00F02CFA"/>
    <w:rsid w:val="00F14996"/>
    <w:rsid w:val="00F16FB5"/>
    <w:rsid w:val="00F172F5"/>
    <w:rsid w:val="00F212F2"/>
    <w:rsid w:val="00F25B17"/>
    <w:rsid w:val="00F26640"/>
    <w:rsid w:val="00F306BF"/>
    <w:rsid w:val="00F376ED"/>
    <w:rsid w:val="00F37BEE"/>
    <w:rsid w:val="00F40EE3"/>
    <w:rsid w:val="00F44927"/>
    <w:rsid w:val="00F451FF"/>
    <w:rsid w:val="00F46E25"/>
    <w:rsid w:val="00F477F4"/>
    <w:rsid w:val="00F546B6"/>
    <w:rsid w:val="00F66F78"/>
    <w:rsid w:val="00F671BA"/>
    <w:rsid w:val="00F67AAB"/>
    <w:rsid w:val="00F810FC"/>
    <w:rsid w:val="00F81EB9"/>
    <w:rsid w:val="00F8225F"/>
    <w:rsid w:val="00F83B73"/>
    <w:rsid w:val="00F849E8"/>
    <w:rsid w:val="00F870A8"/>
    <w:rsid w:val="00F93D9E"/>
    <w:rsid w:val="00FA0E69"/>
    <w:rsid w:val="00FB0A62"/>
    <w:rsid w:val="00FB0D88"/>
    <w:rsid w:val="00FB4E90"/>
    <w:rsid w:val="00FC08C6"/>
    <w:rsid w:val="00FC0AF2"/>
    <w:rsid w:val="00FC66CA"/>
    <w:rsid w:val="00FD0075"/>
    <w:rsid w:val="00FD6FD1"/>
    <w:rsid w:val="00FE2E12"/>
    <w:rsid w:val="00FE3B4A"/>
    <w:rsid w:val="00FE4E71"/>
    <w:rsid w:val="00FE57FD"/>
    <w:rsid w:val="00FE7096"/>
    <w:rsid w:val="00FF3651"/>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3934682449605313"/>
          <c:h val="0.69295208192664226"/>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tx>
                <c:rich>
                  <a:bodyPr/>
                  <a:lstStyle/>
                  <a:p>
                    <a:r>
                      <a:rPr lang="en-US"/>
                      <a:t>2,172</a:t>
                    </a:r>
                  </a:p>
                </c:rich>
              </c:tx>
              <c:dLblPos val="t"/>
              <c:showVal val="1"/>
            </c:dLbl>
            <c:dLbl>
              <c:idx val="1"/>
              <c:tx>
                <c:rich>
                  <a:bodyPr/>
                  <a:lstStyle/>
                  <a:p>
                    <a:r>
                      <a:rPr lang="en-US"/>
                      <a:t>2,190</a:t>
                    </a:r>
                  </a:p>
                </c:rich>
              </c:tx>
              <c:dLblPos val="t"/>
              <c:showVal val="1"/>
            </c:dLbl>
            <c:dLbl>
              <c:idx val="2"/>
              <c:tx>
                <c:rich>
                  <a:bodyPr/>
                  <a:lstStyle/>
                  <a:p>
                    <a:r>
                      <a:rPr lang="en-US"/>
                      <a:t>1,778</a:t>
                    </a:r>
                  </a:p>
                </c:rich>
              </c:tx>
              <c:dLblPos val="t"/>
              <c:showVal val="1"/>
            </c:dLbl>
            <c:dLbl>
              <c:idx val="3"/>
              <c:tx>
                <c:rich>
                  <a:bodyPr/>
                  <a:lstStyle/>
                  <a:p>
                    <a:r>
                      <a:rPr lang="en-US"/>
                      <a:t>2,099</a:t>
                    </a:r>
                  </a:p>
                </c:rich>
              </c:tx>
              <c:dLblPos val="t"/>
              <c:showVal val="1"/>
            </c:dLbl>
            <c:dLbl>
              <c:idx val="4"/>
              <c:tx>
                <c:rich>
                  <a:bodyPr/>
                  <a:lstStyle/>
                  <a:p>
                    <a:r>
                      <a:rPr lang="en-US"/>
                      <a:t>2,281</a:t>
                    </a:r>
                  </a:p>
                </c:rich>
              </c:tx>
              <c:dLblPos val="t"/>
              <c:showVal val="1"/>
            </c:dLbl>
            <c:dLbl>
              <c:idx val="5"/>
              <c:tx>
                <c:rich>
                  <a:bodyPr/>
                  <a:lstStyle/>
                  <a:p>
                    <a:r>
                      <a:rPr lang="en-US"/>
                      <a:t>2,501</a:t>
                    </a:r>
                  </a:p>
                </c:rich>
              </c:tx>
              <c:dLblPos val="t"/>
              <c:showVal val="1"/>
            </c:dLbl>
            <c:dLbl>
              <c:idx val="6"/>
              <c:tx>
                <c:rich>
                  <a:bodyPr/>
                  <a:lstStyle/>
                  <a:p>
                    <a:r>
                      <a:rPr lang="en-US"/>
                      <a:t>2,219</a:t>
                    </a:r>
                  </a:p>
                </c:rich>
              </c:tx>
              <c:dLblPos val="t"/>
              <c:showVal val="1"/>
            </c:dLbl>
            <c:dLbl>
              <c:idx val="7"/>
              <c:tx>
                <c:rich>
                  <a:bodyPr/>
                  <a:lstStyle/>
                  <a:p>
                    <a:r>
                      <a:rPr lang="en-US"/>
                      <a:t>2,137</a:t>
                    </a:r>
                  </a:p>
                </c:rich>
              </c:tx>
              <c:dLblPos val="t"/>
              <c:showVal val="1"/>
            </c:dLbl>
            <c:dLbl>
              <c:idx val="8"/>
              <c:tx>
                <c:rich>
                  <a:bodyPr/>
                  <a:lstStyle/>
                  <a:p>
                    <a:r>
                      <a:rPr lang="en-US"/>
                      <a:t>2,445</a:t>
                    </a:r>
                  </a:p>
                </c:rich>
              </c:tx>
              <c:dLblPos val="t"/>
              <c:showVal val="1"/>
            </c:dLbl>
            <c:dLblPos val="t"/>
            <c:showVal val="1"/>
          </c:dLbls>
          <c:cat>
            <c:strRef>
              <c:f>Sheet1!$A$4:$A$12</c:f>
              <c:strCache>
                <c:ptCount val="9"/>
                <c:pt idx="0">
                  <c:v>    Q I 2012</c:v>
                </c:pt>
                <c:pt idx="1">
                  <c:v>   Q II 2012</c:v>
                </c:pt>
                <c:pt idx="2">
                  <c:v>  Q III 2012</c:v>
                </c:pt>
                <c:pt idx="3">
                  <c:v>  Q IV 2012</c:v>
                </c:pt>
                <c:pt idx="4">
                  <c:v>    Q I 2013</c:v>
                </c:pt>
                <c:pt idx="5">
                  <c:v>   Q II 2013</c:v>
                </c:pt>
                <c:pt idx="6">
                  <c:v> Q III 2013</c:v>
                </c:pt>
                <c:pt idx="7">
                  <c:v>  Q IV 2013</c:v>
                </c:pt>
                <c:pt idx="8">
                  <c:v>    Q I 2014</c:v>
                </c:pt>
              </c:strCache>
            </c:strRef>
          </c:cat>
          <c:val>
            <c:numRef>
              <c:f>Sheet1!$B$4:$B$12</c:f>
              <c:numCache>
                <c:formatCode>General</c:formatCode>
                <c:ptCount val="9"/>
                <c:pt idx="0">
                  <c:v>2172</c:v>
                </c:pt>
                <c:pt idx="1">
                  <c:v>2190</c:v>
                </c:pt>
                <c:pt idx="2">
                  <c:v>1778</c:v>
                </c:pt>
                <c:pt idx="3">
                  <c:v>2099</c:v>
                </c:pt>
                <c:pt idx="4">
                  <c:v>2281</c:v>
                </c:pt>
                <c:pt idx="5">
                  <c:v>2501</c:v>
                </c:pt>
                <c:pt idx="6">
                  <c:v>2219</c:v>
                </c:pt>
                <c:pt idx="7">
                  <c:v>2137</c:v>
                </c:pt>
                <c:pt idx="8">
                  <c:v>2445</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1,344</a:t>
                    </a:r>
                  </a:p>
                </c:rich>
              </c:tx>
              <c:dLblPos val="t"/>
              <c:showVal val="1"/>
            </c:dLbl>
            <c:dLbl>
              <c:idx val="1"/>
              <c:tx>
                <c:rich>
                  <a:bodyPr/>
                  <a:lstStyle/>
                  <a:p>
                    <a:r>
                      <a:rPr lang="en-US"/>
                      <a:t>1,222</a:t>
                    </a:r>
                  </a:p>
                </c:rich>
              </c:tx>
              <c:dLblPos val="t"/>
              <c:showVal val="1"/>
            </c:dLbl>
            <c:dLbl>
              <c:idx val="2"/>
              <c:tx>
                <c:rich>
                  <a:bodyPr/>
                  <a:lstStyle/>
                  <a:p>
                    <a:r>
                      <a:rPr lang="en-US"/>
                      <a:t>1,059</a:t>
                    </a:r>
                  </a:p>
                </c:rich>
              </c:tx>
              <c:dLblPos val="t"/>
              <c:showVal val="1"/>
            </c:dLbl>
            <c:dLbl>
              <c:idx val="3"/>
              <c:tx>
                <c:rich>
                  <a:bodyPr/>
                  <a:lstStyle/>
                  <a:p>
                    <a:r>
                      <a:rPr lang="en-US"/>
                      <a:t>1,264</a:t>
                    </a:r>
                  </a:p>
                </c:rich>
              </c:tx>
              <c:dLblPos val="t"/>
              <c:showVal val="1"/>
            </c:dLbl>
            <c:dLbl>
              <c:idx val="4"/>
              <c:tx>
                <c:rich>
                  <a:bodyPr/>
                  <a:lstStyle/>
                  <a:p>
                    <a:r>
                      <a:rPr lang="en-US"/>
                      <a:t>1,194</a:t>
                    </a:r>
                  </a:p>
                </c:rich>
              </c:tx>
              <c:dLblPos val="t"/>
              <c:showVal val="1"/>
            </c:dLbl>
            <c:dLbl>
              <c:idx val="5"/>
              <c:tx>
                <c:rich>
                  <a:bodyPr/>
                  <a:lstStyle/>
                  <a:p>
                    <a:r>
                      <a:rPr lang="en-US"/>
                      <a:t>1,608</a:t>
                    </a:r>
                  </a:p>
                </c:rich>
              </c:tx>
              <c:dLblPos val="t"/>
              <c:showVal val="1"/>
            </c:dLbl>
            <c:dLbl>
              <c:idx val="6"/>
              <c:tx>
                <c:rich>
                  <a:bodyPr/>
                  <a:lstStyle/>
                  <a:p>
                    <a:r>
                      <a:rPr lang="en-US"/>
                      <a:t>1,485</a:t>
                    </a:r>
                  </a:p>
                </c:rich>
              </c:tx>
              <c:dLblPos val="t"/>
              <c:showVal val="1"/>
            </c:dLbl>
            <c:dLbl>
              <c:idx val="7"/>
              <c:tx>
                <c:rich>
                  <a:bodyPr/>
                  <a:lstStyle/>
                  <a:p>
                    <a:r>
                      <a:rPr lang="en-US"/>
                      <a:t>1,364</a:t>
                    </a:r>
                  </a:p>
                </c:rich>
              </c:tx>
              <c:dLblPos val="t"/>
              <c:showVal val="1"/>
            </c:dLbl>
            <c:dLbl>
              <c:idx val="8"/>
              <c:tx>
                <c:rich>
                  <a:bodyPr/>
                  <a:lstStyle/>
                  <a:p>
                    <a:r>
                      <a:rPr lang="en-US"/>
                      <a:t>1,690</a:t>
                    </a:r>
                  </a:p>
                </c:rich>
              </c:tx>
              <c:dLblPos val="t"/>
              <c:showVal val="1"/>
            </c:dLbl>
            <c:dLblPos val="t"/>
            <c:showVal val="1"/>
          </c:dLbls>
          <c:cat>
            <c:strRef>
              <c:f>Sheet1!$A$4:$A$12</c:f>
              <c:strCache>
                <c:ptCount val="9"/>
                <c:pt idx="0">
                  <c:v>    Q I 2012</c:v>
                </c:pt>
                <c:pt idx="1">
                  <c:v>   Q II 2012</c:v>
                </c:pt>
                <c:pt idx="2">
                  <c:v>  Q III 2012</c:v>
                </c:pt>
                <c:pt idx="3">
                  <c:v>  Q IV 2012</c:v>
                </c:pt>
                <c:pt idx="4">
                  <c:v>    Q I 2013</c:v>
                </c:pt>
                <c:pt idx="5">
                  <c:v>   Q II 2013</c:v>
                </c:pt>
                <c:pt idx="6">
                  <c:v> Q III 2013</c:v>
                </c:pt>
                <c:pt idx="7">
                  <c:v>  Q IV 2013</c:v>
                </c:pt>
                <c:pt idx="8">
                  <c:v>    Q I 2014</c:v>
                </c:pt>
              </c:strCache>
            </c:strRef>
          </c:cat>
          <c:val>
            <c:numRef>
              <c:f>Sheet1!$C$4:$C$12</c:f>
              <c:numCache>
                <c:formatCode>General</c:formatCode>
                <c:ptCount val="9"/>
                <c:pt idx="0">
                  <c:v>1344</c:v>
                </c:pt>
                <c:pt idx="1">
                  <c:v>1222</c:v>
                </c:pt>
                <c:pt idx="2">
                  <c:v>1059</c:v>
                </c:pt>
                <c:pt idx="3">
                  <c:v>1264</c:v>
                </c:pt>
                <c:pt idx="4">
                  <c:v>1194</c:v>
                </c:pt>
                <c:pt idx="5">
                  <c:v>1608</c:v>
                </c:pt>
                <c:pt idx="6">
                  <c:v>1485</c:v>
                </c:pt>
                <c:pt idx="7">
                  <c:v>1364</c:v>
                </c:pt>
                <c:pt idx="8">
                  <c:v>1690</c:v>
                </c:pt>
              </c:numCache>
            </c:numRef>
          </c:val>
        </c:ser>
        <c:dLbls>
          <c:showVal val="1"/>
        </c:dLbls>
        <c:marker val="1"/>
        <c:axId val="49083136"/>
        <c:axId val="49085056"/>
      </c:lineChart>
      <c:catAx>
        <c:axId val="49083136"/>
        <c:scaling>
          <c:orientation val="minMax"/>
        </c:scaling>
        <c:axPos val="b"/>
        <c:title>
          <c:tx>
            <c:rich>
              <a:bodyPr/>
              <a:lstStyle/>
              <a:p>
                <a:pPr>
                  <a:defRPr b="1" i="0"/>
                </a:pPr>
                <a:r>
                  <a:rPr lang="en-US" b="1" i="0"/>
                  <a:t>Quarter</a:t>
                </a:r>
              </a:p>
            </c:rich>
          </c:tx>
          <c:layout>
            <c:manualLayout>
              <c:xMode val="edge"/>
              <c:yMode val="edge"/>
              <c:x val="0.45765702324659174"/>
              <c:y val="0.92873931623932016"/>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49085056"/>
        <c:crosses val="autoZero"/>
        <c:auto val="1"/>
        <c:lblAlgn val="ctr"/>
        <c:lblOffset val="40"/>
        <c:tickLblSkip val="1"/>
        <c:tickMarkSkip val="1"/>
      </c:catAx>
      <c:valAx>
        <c:axId val="49085056"/>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504"/>
            </c:manualLayout>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908313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07864807015"/>
          <c:y val="3.9116023958543647E-2"/>
          <c:w val="0.64016363743489524"/>
          <c:h val="0.10104187697691791"/>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78859301578528"/>
          <c:y val="0"/>
          <c:w val="0.82696498045204458"/>
          <c:h val="0.8939730309474625"/>
        </c:manualLayout>
      </c:layout>
      <c:barChart>
        <c:barDir val="bar"/>
        <c:grouping val="clustered"/>
        <c:ser>
          <c:idx val="0"/>
          <c:order val="0"/>
          <c:tx>
            <c:strRef>
              <c:f>Sheet1!$B$1</c:f>
              <c:strCache>
                <c:ptCount val="1"/>
                <c:pt idx="0">
                  <c:v>Fourth Quarter 2013</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pt idx="13">
                  <c:v>North Gaza</c:v>
                </c:pt>
              </c:strCache>
            </c:strRef>
          </c:cat>
          <c:val>
            <c:numRef>
              <c:f>Sheet1!$B$2:$B$15</c:f>
              <c:numCache>
                <c:formatCode>General</c:formatCode>
                <c:ptCount val="14"/>
                <c:pt idx="0">
                  <c:v>465</c:v>
                </c:pt>
                <c:pt idx="1">
                  <c:v>350</c:v>
                </c:pt>
                <c:pt idx="2">
                  <c:v>193</c:v>
                </c:pt>
                <c:pt idx="3">
                  <c:v>188</c:v>
                </c:pt>
                <c:pt idx="4">
                  <c:v>158</c:v>
                </c:pt>
                <c:pt idx="5">
                  <c:v>118</c:v>
                </c:pt>
                <c:pt idx="6">
                  <c:v>95</c:v>
                </c:pt>
                <c:pt idx="7">
                  <c:v>74</c:v>
                </c:pt>
                <c:pt idx="8">
                  <c:v>86</c:v>
                </c:pt>
                <c:pt idx="9">
                  <c:v>146</c:v>
                </c:pt>
                <c:pt idx="10">
                  <c:v>27</c:v>
                </c:pt>
                <c:pt idx="11">
                  <c:v>18</c:v>
                </c:pt>
                <c:pt idx="12">
                  <c:v>26</c:v>
                </c:pt>
                <c:pt idx="13">
                  <c:v>10</c:v>
                </c:pt>
              </c:numCache>
            </c:numRef>
          </c:val>
        </c:ser>
        <c:ser>
          <c:idx val="1"/>
          <c:order val="1"/>
          <c:tx>
            <c:strRef>
              <c:f>Sheet1!$C$1</c:f>
              <c:strCache>
                <c:ptCount val="1"/>
                <c:pt idx="0">
                  <c:v>First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pt idx="13">
                  <c:v>North Gaza</c:v>
                </c:pt>
              </c:strCache>
            </c:strRef>
          </c:cat>
          <c:val>
            <c:numRef>
              <c:f>Sheet1!$C$2:$C$15</c:f>
              <c:numCache>
                <c:formatCode>General</c:formatCode>
                <c:ptCount val="14"/>
                <c:pt idx="0">
                  <c:v>577</c:v>
                </c:pt>
                <c:pt idx="1">
                  <c:v>402</c:v>
                </c:pt>
                <c:pt idx="2">
                  <c:v>241</c:v>
                </c:pt>
                <c:pt idx="3">
                  <c:v>197</c:v>
                </c:pt>
                <c:pt idx="4">
                  <c:v>187</c:v>
                </c:pt>
                <c:pt idx="5">
                  <c:v>137</c:v>
                </c:pt>
                <c:pt idx="6">
                  <c:v>130</c:v>
                </c:pt>
                <c:pt idx="7">
                  <c:v>107</c:v>
                </c:pt>
                <c:pt idx="8">
                  <c:v>99</c:v>
                </c:pt>
                <c:pt idx="9">
                  <c:v>85</c:v>
                </c:pt>
                <c:pt idx="10">
                  <c:v>41</c:v>
                </c:pt>
                <c:pt idx="11">
                  <c:v>18</c:v>
                </c:pt>
                <c:pt idx="12">
                  <c:v>16</c:v>
                </c:pt>
                <c:pt idx="13">
                  <c:v>2</c:v>
                </c:pt>
              </c:numCache>
            </c:numRef>
          </c:val>
        </c:ser>
        <c:dLbls>
          <c:showVal val="1"/>
        </c:dLbls>
        <c:axId val="49178880"/>
        <c:axId val="49247360"/>
      </c:barChart>
      <c:catAx>
        <c:axId val="49178880"/>
        <c:scaling>
          <c:orientation val="minMax"/>
        </c:scaling>
        <c:axPos val="l"/>
        <c:title>
          <c:tx>
            <c:rich>
              <a:bodyPr/>
              <a:lstStyle/>
              <a:p>
                <a:pPr>
                  <a:defRPr/>
                </a:pPr>
                <a:r>
                  <a:rPr lang="en-US"/>
                  <a:t>Governorate</a:t>
                </a:r>
              </a:p>
            </c:rich>
          </c:tx>
          <c:layout>
            <c:manualLayout>
              <c:xMode val="edge"/>
              <c:yMode val="edge"/>
              <c:x val="2.1290236875454224E-2"/>
              <c:y val="0.35765791911946404"/>
            </c:manualLayout>
          </c:layout>
        </c:title>
        <c:numFmt formatCode="General" sourceLinked="1"/>
        <c:tickLblPos val="nextTo"/>
        <c:crossAx val="49247360"/>
        <c:crosses val="autoZero"/>
        <c:auto val="1"/>
        <c:lblAlgn val="ctr"/>
        <c:lblOffset val="100"/>
      </c:catAx>
      <c:valAx>
        <c:axId val="49247360"/>
        <c:scaling>
          <c:orientation val="minMax"/>
        </c:scaling>
        <c:axPos val="b"/>
        <c:title>
          <c:tx>
            <c:rich>
              <a:bodyPr/>
              <a:lstStyle/>
              <a:p>
                <a:pPr algn="ctr" rtl="0">
                  <a:defRPr/>
                </a:pPr>
                <a:r>
                  <a:rPr lang="en-US"/>
                  <a:t>No. of Licenses </a:t>
                </a:r>
                <a:endParaRPr lang="ar-SA"/>
              </a:p>
            </c:rich>
          </c:tx>
          <c:layout>
            <c:manualLayout>
              <c:xMode val="edge"/>
              <c:yMode val="edge"/>
              <c:x val="0.51811887144424928"/>
              <c:y val="0.94614865294809369"/>
            </c:manualLayout>
          </c:layout>
        </c:title>
        <c:numFmt formatCode="General" sourceLinked="1"/>
        <c:tickLblPos val="nextTo"/>
        <c:crossAx val="49178880"/>
        <c:crosses val="autoZero"/>
        <c:crossBetween val="between"/>
      </c:valAx>
    </c:plotArea>
    <c:legend>
      <c:legendPos val="r"/>
      <c:layout>
        <c:manualLayout>
          <c:xMode val="edge"/>
          <c:yMode val="edge"/>
          <c:x val="0.7262237333682906"/>
          <c:y val="2.4509803921568631E-2"/>
          <c:w val="0.25961822055016565"/>
          <c:h val="0.17477902578354168"/>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Fourth Quarter 2013</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Ramallah&amp; Al Bireh</c:v>
                </c:pt>
                <c:pt idx="3">
                  <c:v>Jenin</c:v>
                </c:pt>
                <c:pt idx="4">
                  <c:v>Salfit</c:v>
                </c:pt>
                <c:pt idx="5">
                  <c:v>Qalqilya</c:v>
                </c:pt>
                <c:pt idx="6">
                  <c:v>Bethlehem</c:v>
                </c:pt>
                <c:pt idx="7">
                  <c:v>Tulkarm</c:v>
                </c:pt>
                <c:pt idx="8">
                  <c:v>Gaza</c:v>
                </c:pt>
                <c:pt idx="9">
                  <c:v>Jericho &amp; Al Aghwar</c:v>
                </c:pt>
                <c:pt idx="10">
                  <c:v>Jerusalem**</c:v>
                </c:pt>
                <c:pt idx="11">
                  <c:v>Tubas</c:v>
                </c:pt>
                <c:pt idx="12">
                  <c:v>Deir Al-Balah</c:v>
                </c:pt>
                <c:pt idx="13">
                  <c:v>North Gaza</c:v>
                </c:pt>
              </c:strCache>
            </c:strRef>
          </c:cat>
          <c:val>
            <c:numRef>
              <c:f>Sheet1!$B$2:$B$15</c:f>
              <c:numCache>
                <c:formatCode>General</c:formatCode>
                <c:ptCount val="14"/>
                <c:pt idx="0">
                  <c:v>35</c:v>
                </c:pt>
                <c:pt idx="1">
                  <c:v>31</c:v>
                </c:pt>
                <c:pt idx="2">
                  <c:v>27</c:v>
                </c:pt>
                <c:pt idx="3">
                  <c:v>35</c:v>
                </c:pt>
                <c:pt idx="4">
                  <c:v>9</c:v>
                </c:pt>
                <c:pt idx="5">
                  <c:v>8</c:v>
                </c:pt>
                <c:pt idx="6">
                  <c:v>13</c:v>
                </c:pt>
                <c:pt idx="7">
                  <c:v>9</c:v>
                </c:pt>
                <c:pt idx="8">
                  <c:v>1</c:v>
                </c:pt>
                <c:pt idx="9">
                  <c:v>6</c:v>
                </c:pt>
                <c:pt idx="10">
                  <c:v>4</c:v>
                </c:pt>
                <c:pt idx="11">
                  <c:v>4</c:v>
                </c:pt>
                <c:pt idx="12">
                  <c:v>1</c:v>
                </c:pt>
                <c:pt idx="13">
                  <c:v>0</c:v>
                </c:pt>
              </c:numCache>
            </c:numRef>
          </c:val>
        </c:ser>
        <c:ser>
          <c:idx val="1"/>
          <c:order val="1"/>
          <c:tx>
            <c:strRef>
              <c:f>Sheet1!$C$1</c:f>
              <c:strCache>
                <c:ptCount val="1"/>
                <c:pt idx="0">
                  <c:v>First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Ramallah&amp; Al Bireh</c:v>
                </c:pt>
                <c:pt idx="3">
                  <c:v>Jenin</c:v>
                </c:pt>
                <c:pt idx="4">
                  <c:v>Salfit</c:v>
                </c:pt>
                <c:pt idx="5">
                  <c:v>Qalqilya</c:v>
                </c:pt>
                <c:pt idx="6">
                  <c:v>Bethlehem</c:v>
                </c:pt>
                <c:pt idx="7">
                  <c:v>Tulkarm</c:v>
                </c:pt>
                <c:pt idx="8">
                  <c:v>Gaza</c:v>
                </c:pt>
                <c:pt idx="9">
                  <c:v>Jericho &amp; Al Aghwar</c:v>
                </c:pt>
                <c:pt idx="10">
                  <c:v>Jerusalem**</c:v>
                </c:pt>
                <c:pt idx="11">
                  <c:v>Tubas</c:v>
                </c:pt>
                <c:pt idx="12">
                  <c:v>Deir Al-Balah</c:v>
                </c:pt>
                <c:pt idx="13">
                  <c:v>North Gaza</c:v>
                </c:pt>
              </c:strCache>
            </c:strRef>
          </c:cat>
          <c:val>
            <c:numRef>
              <c:f>Sheet1!$C$2:$C$15</c:f>
              <c:numCache>
                <c:formatCode>General</c:formatCode>
                <c:ptCount val="14"/>
                <c:pt idx="0">
                  <c:v>48</c:v>
                </c:pt>
                <c:pt idx="1">
                  <c:v>48</c:v>
                </c:pt>
                <c:pt idx="2">
                  <c:v>32</c:v>
                </c:pt>
                <c:pt idx="3">
                  <c:v>27</c:v>
                </c:pt>
                <c:pt idx="4">
                  <c:v>10</c:v>
                </c:pt>
                <c:pt idx="5">
                  <c:v>10</c:v>
                </c:pt>
                <c:pt idx="6">
                  <c:v>8</c:v>
                </c:pt>
                <c:pt idx="7">
                  <c:v>8</c:v>
                </c:pt>
                <c:pt idx="8">
                  <c:v>5</c:v>
                </c:pt>
                <c:pt idx="9">
                  <c:v>4</c:v>
                </c:pt>
                <c:pt idx="10">
                  <c:v>3</c:v>
                </c:pt>
                <c:pt idx="11">
                  <c:v>2</c:v>
                </c:pt>
                <c:pt idx="12">
                  <c:v>1</c:v>
                </c:pt>
                <c:pt idx="13">
                  <c:v>0</c:v>
                </c:pt>
              </c:numCache>
            </c:numRef>
          </c:val>
        </c:ser>
        <c:dLbls>
          <c:showVal val="1"/>
        </c:dLbls>
        <c:axId val="91773184"/>
        <c:axId val="91935104"/>
      </c:barChart>
      <c:catAx>
        <c:axId val="91773184"/>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7456"/>
            </c:manualLayout>
          </c:layout>
        </c:title>
        <c:numFmt formatCode="General" sourceLinked="1"/>
        <c:tickLblPos val="nextTo"/>
        <c:crossAx val="91935104"/>
        <c:crosses val="autoZero"/>
        <c:auto val="1"/>
        <c:lblAlgn val="ctr"/>
        <c:lblOffset val="100"/>
      </c:catAx>
      <c:valAx>
        <c:axId val="91935104"/>
        <c:scaling>
          <c:orientation val="minMax"/>
        </c:scaling>
        <c:axPos val="b"/>
        <c:title>
          <c:tx>
            <c:rich>
              <a:bodyPr/>
              <a:lstStyle/>
              <a:p>
                <a:pPr algn="ctr" rtl="0">
                  <a:defRPr/>
                </a:pPr>
                <a:r>
                  <a:rPr lang="en-US"/>
                  <a:t>No. of Licenses </a:t>
                </a:r>
                <a:endParaRPr lang="ar-SA"/>
              </a:p>
            </c:rich>
          </c:tx>
          <c:layout>
            <c:manualLayout>
              <c:xMode val="edge"/>
              <c:yMode val="edge"/>
              <c:x val="0.53552600620707069"/>
              <c:y val="0.94259561716953932"/>
            </c:manualLayout>
          </c:layout>
        </c:title>
        <c:numFmt formatCode="General" sourceLinked="1"/>
        <c:tickLblPos val="nextTo"/>
        <c:crossAx val="91773184"/>
        <c:crosses val="autoZero"/>
        <c:crossBetween val="between"/>
      </c:valAx>
    </c:plotArea>
    <c:legend>
      <c:legendPos val="r"/>
      <c:layout>
        <c:manualLayout>
          <c:xMode val="edge"/>
          <c:yMode val="edge"/>
          <c:x val="0.72609001654812166"/>
          <c:y val="3.9353518310211236E-2"/>
          <c:w val="0.19098821543290553"/>
          <c:h val="0.1304850989159364"/>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E05DA-40EB-43A3-BCC0-FA52449F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bshbeatah</cp:lastModifiedBy>
  <cp:revision>54</cp:revision>
  <cp:lastPrinted>2014-05-22T06:54:00Z</cp:lastPrinted>
  <dcterms:created xsi:type="dcterms:W3CDTF">2014-04-29T09:20:00Z</dcterms:created>
  <dcterms:modified xsi:type="dcterms:W3CDTF">2014-05-25T05:07:00Z</dcterms:modified>
</cp:coreProperties>
</file>